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B225">
      <w:pPr>
        <w:rPr>
          <w:rFonts w:ascii="仿宋_GB2312" w:hAnsi="仿宋_GB2312" w:eastAsia="仿宋_GB2312" w:cs="仿宋_GB2312"/>
          <w:b/>
          <w:sz w:val="112"/>
          <w:szCs w:val="112"/>
        </w:rPr>
      </w:pPr>
      <w:bookmarkStart w:id="0" w:name="_Toc29227"/>
    </w:p>
    <w:p w14:paraId="523F0264">
      <w:pPr>
        <w:adjustRightInd w:val="0"/>
        <w:snapToGrid w:val="0"/>
        <w:ind w:firstLine="0" w:firstLineChars="0"/>
        <w:jc w:val="center"/>
        <w:outlineLvl w:val="0"/>
        <w:rPr>
          <w:rFonts w:ascii="仿宋_GB2312" w:hAnsi="仿宋_GB2312" w:eastAsia="仿宋_GB2312" w:cs="仿宋_GB2312"/>
          <w:b/>
          <w:sz w:val="112"/>
          <w:szCs w:val="112"/>
        </w:rPr>
      </w:pPr>
    </w:p>
    <w:p w14:paraId="564BA512">
      <w:pPr>
        <w:adjustRightInd w:val="0"/>
        <w:snapToGrid w:val="0"/>
        <w:ind w:firstLine="0" w:firstLineChars="0"/>
        <w:jc w:val="center"/>
        <w:outlineLvl w:val="0"/>
        <w:rPr>
          <w:rFonts w:ascii="仿宋_GB2312" w:hAnsi="仿宋_GB2312" w:eastAsia="仿宋_GB2312" w:cs="仿宋_GB2312"/>
          <w:b/>
          <w:sz w:val="112"/>
          <w:szCs w:val="112"/>
        </w:rPr>
      </w:pPr>
      <w:r>
        <w:rPr>
          <w:rFonts w:hint="eastAsia" w:ascii="仿宋_GB2312" w:hAnsi="仿宋_GB2312" w:eastAsia="仿宋_GB2312" w:cs="仿宋_GB2312"/>
          <w:b/>
          <w:sz w:val="112"/>
          <w:szCs w:val="112"/>
        </w:rPr>
        <w:t>询比文件</w:t>
      </w:r>
      <w:bookmarkEnd w:id="0"/>
    </w:p>
    <w:p w14:paraId="2F088F36">
      <w:pPr>
        <w:ind w:firstLine="0" w:firstLineChars="0"/>
        <w:rPr>
          <w:rFonts w:ascii="仿宋_GB2312" w:hAnsi="仿宋_GB2312" w:eastAsia="仿宋_GB2312" w:cs="仿宋_GB2312"/>
        </w:rPr>
      </w:pPr>
    </w:p>
    <w:p w14:paraId="766AE521">
      <w:pPr>
        <w:pStyle w:val="2"/>
        <w:ind w:firstLine="480"/>
        <w:rPr>
          <w:rFonts w:ascii="仿宋_GB2312" w:hAnsi="仿宋_GB2312" w:eastAsia="仿宋_GB2312" w:cs="仿宋_GB2312"/>
          <w:color w:val="auto"/>
        </w:rPr>
      </w:pPr>
    </w:p>
    <w:p w14:paraId="7DE50D02">
      <w:pPr>
        <w:pStyle w:val="2"/>
        <w:ind w:firstLine="480"/>
        <w:rPr>
          <w:rFonts w:ascii="仿宋_GB2312" w:hAnsi="仿宋_GB2312" w:eastAsia="仿宋_GB2312" w:cs="仿宋_GB2312"/>
          <w:color w:val="auto"/>
        </w:rPr>
      </w:pPr>
    </w:p>
    <w:p w14:paraId="573106D4">
      <w:pPr>
        <w:pStyle w:val="2"/>
        <w:ind w:firstLine="480"/>
        <w:rPr>
          <w:rFonts w:ascii="仿宋_GB2312" w:hAnsi="仿宋_GB2312" w:eastAsia="仿宋_GB2312" w:cs="仿宋_GB2312"/>
          <w:color w:val="auto"/>
        </w:rPr>
      </w:pPr>
    </w:p>
    <w:p w14:paraId="0EDFCBA9">
      <w:pPr>
        <w:pStyle w:val="2"/>
        <w:ind w:firstLine="480"/>
        <w:rPr>
          <w:rFonts w:ascii="仿宋_GB2312" w:hAnsi="仿宋_GB2312" w:eastAsia="仿宋_GB2312" w:cs="仿宋_GB2312"/>
          <w:color w:val="auto"/>
        </w:rPr>
      </w:pPr>
    </w:p>
    <w:tbl>
      <w:tblPr>
        <w:tblStyle w:val="42"/>
        <w:tblpPr w:leftFromText="180" w:rightFromText="180" w:vertAnchor="text" w:horzAnchor="page" w:tblpX="1166" w:tblpY="68"/>
        <w:tblOverlap w:val="never"/>
        <w:tblW w:w="10872" w:type="dxa"/>
        <w:tblInd w:w="0" w:type="dxa"/>
        <w:tblLayout w:type="fixed"/>
        <w:tblCellMar>
          <w:top w:w="0" w:type="dxa"/>
          <w:left w:w="108" w:type="dxa"/>
          <w:bottom w:w="0" w:type="dxa"/>
          <w:right w:w="108" w:type="dxa"/>
        </w:tblCellMar>
      </w:tblPr>
      <w:tblGrid>
        <w:gridCol w:w="2163"/>
        <w:gridCol w:w="8709"/>
      </w:tblGrid>
      <w:tr w14:paraId="77493495">
        <w:tblPrEx>
          <w:tblCellMar>
            <w:top w:w="0" w:type="dxa"/>
            <w:left w:w="108" w:type="dxa"/>
            <w:bottom w:w="0" w:type="dxa"/>
            <w:right w:w="108" w:type="dxa"/>
          </w:tblCellMar>
        </w:tblPrEx>
        <w:trPr>
          <w:trHeight w:val="612" w:hRule="atLeast"/>
        </w:trPr>
        <w:tc>
          <w:tcPr>
            <w:tcW w:w="2163" w:type="dxa"/>
            <w:vAlign w:val="center"/>
          </w:tcPr>
          <w:p w14:paraId="3A94C14D">
            <w:pPr>
              <w:adjustRightInd w:val="0"/>
              <w:snapToGrid w:val="0"/>
              <w:ind w:firstLine="0" w:firstLine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p>
        </w:tc>
        <w:tc>
          <w:tcPr>
            <w:tcW w:w="8709" w:type="dxa"/>
            <w:vAlign w:val="bottom"/>
          </w:tcPr>
          <w:p w14:paraId="77C87592">
            <w:pPr>
              <w:adjustRightInd w:val="0"/>
              <w:snapToGrid w:val="0"/>
              <w:ind w:firstLine="0" w:firstLineChars="0"/>
              <w:jc w:val="both"/>
              <w:rPr>
                <w:rFonts w:ascii="仿宋_GB2312" w:hAnsi="仿宋_GB2312" w:eastAsia="仿宋_GB2312" w:cs="仿宋_GB2312"/>
                <w:b/>
                <w:bCs/>
                <w:sz w:val="32"/>
                <w:szCs w:val="32"/>
              </w:rPr>
            </w:pPr>
            <w:bookmarkStart w:id="1" w:name="_Hlk204673604"/>
            <w:r>
              <w:rPr>
                <w:rFonts w:hint="eastAsia" w:ascii="仿宋_GB2312" w:hAnsi="仿宋_GB2312" w:eastAsia="仿宋_GB2312" w:cs="仿宋_GB2312"/>
                <w:b/>
                <w:bCs/>
                <w:sz w:val="32"/>
                <w:szCs w:val="32"/>
              </w:rPr>
              <w:t>i茅台台源6-12月活动奖品采购项目（手机、扫地机等消费电子产品采购）（二次）</w:t>
            </w:r>
          </w:p>
          <w:bookmarkEnd w:id="1"/>
          <w:p w14:paraId="605350A2">
            <w:pPr>
              <w:pStyle w:val="2"/>
              <w:ind w:left="0" w:firstLine="0" w:firstLineChars="0"/>
              <w:rPr>
                <w:rFonts w:ascii="仿宋_GB2312" w:hAnsi="仿宋_GB2312" w:eastAsia="仿宋_GB2312" w:cs="仿宋_GB2312"/>
                <w:b/>
                <w:bCs/>
                <w:color w:val="auto"/>
                <w:sz w:val="32"/>
                <w:szCs w:val="32"/>
              </w:rPr>
            </w:pPr>
          </w:p>
        </w:tc>
      </w:tr>
      <w:tr w14:paraId="2EF9302C">
        <w:tblPrEx>
          <w:tblCellMar>
            <w:top w:w="0" w:type="dxa"/>
            <w:left w:w="108" w:type="dxa"/>
            <w:bottom w:w="0" w:type="dxa"/>
            <w:right w:w="108" w:type="dxa"/>
          </w:tblCellMar>
        </w:tblPrEx>
        <w:trPr>
          <w:trHeight w:val="308" w:hRule="atLeast"/>
        </w:trPr>
        <w:tc>
          <w:tcPr>
            <w:tcW w:w="2163" w:type="dxa"/>
            <w:vAlign w:val="center"/>
          </w:tcPr>
          <w:p w14:paraId="4E73413F">
            <w:pPr>
              <w:adjustRightInd w:val="0"/>
              <w:snapToGrid w:val="0"/>
              <w:ind w:firstLine="0" w:firstLine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 购 人：</w:t>
            </w:r>
          </w:p>
        </w:tc>
        <w:tc>
          <w:tcPr>
            <w:tcW w:w="8709" w:type="dxa"/>
            <w:vAlign w:val="center"/>
          </w:tcPr>
          <w:p w14:paraId="369AF750">
            <w:pPr>
              <w:adjustRightInd w:val="0"/>
              <w:snapToGrid w:val="0"/>
              <w:ind w:firstLine="0" w:firstLineChars="0"/>
              <w:rPr>
                <w:rFonts w:ascii="仿宋_GB2312" w:hAnsi="仿宋_GB2312" w:eastAsia="仿宋_GB2312" w:cs="仿宋_GB2312"/>
                <w:b/>
                <w:bCs/>
                <w:sz w:val="32"/>
                <w:szCs w:val="32"/>
              </w:rPr>
            </w:pPr>
          </w:p>
          <w:p w14:paraId="720E8157">
            <w:pPr>
              <w:adjustRightInd w:val="0"/>
              <w:snapToGrid w:val="0"/>
              <w:ind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贵州茅台酒厂（集团）保健酒业销售有限公司</w:t>
            </w:r>
          </w:p>
          <w:p w14:paraId="3184D92C">
            <w:pPr>
              <w:pStyle w:val="2"/>
              <w:ind w:firstLine="480"/>
              <w:rPr>
                <w:color w:val="auto"/>
              </w:rPr>
            </w:pPr>
          </w:p>
          <w:p w14:paraId="508C3C7C">
            <w:pPr>
              <w:pStyle w:val="2"/>
              <w:ind w:firstLine="480"/>
              <w:rPr>
                <w:color w:val="auto"/>
              </w:rPr>
            </w:pPr>
          </w:p>
        </w:tc>
      </w:tr>
      <w:tr w14:paraId="4C84ED0A">
        <w:tblPrEx>
          <w:tblCellMar>
            <w:top w:w="0" w:type="dxa"/>
            <w:left w:w="108" w:type="dxa"/>
            <w:bottom w:w="0" w:type="dxa"/>
            <w:right w:w="108" w:type="dxa"/>
          </w:tblCellMar>
        </w:tblPrEx>
        <w:trPr>
          <w:trHeight w:val="295" w:hRule="atLeast"/>
        </w:trPr>
        <w:tc>
          <w:tcPr>
            <w:tcW w:w="2163" w:type="dxa"/>
            <w:vAlign w:val="bottom"/>
          </w:tcPr>
          <w:p w14:paraId="28B9DAA2">
            <w:pPr>
              <w:adjustRightInd w:val="0"/>
              <w:snapToGrid w:val="0"/>
              <w:ind w:firstLine="0" w:firstLine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日    期：</w:t>
            </w:r>
          </w:p>
        </w:tc>
        <w:tc>
          <w:tcPr>
            <w:tcW w:w="8709" w:type="dxa"/>
            <w:vAlign w:val="center"/>
          </w:tcPr>
          <w:p w14:paraId="7D0539BC">
            <w:pPr>
              <w:adjustRightInd w:val="0"/>
              <w:snapToGrid w:val="0"/>
              <w:ind w:firstLine="0" w:firstLine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二零二五年八月</w:t>
            </w:r>
          </w:p>
        </w:tc>
      </w:tr>
    </w:tbl>
    <w:p w14:paraId="22866955">
      <w:pPr>
        <w:ind w:firstLine="0" w:firstLineChars="0"/>
        <w:jc w:val="both"/>
        <w:rPr>
          <w:rFonts w:ascii="仿宋_GB2312" w:hAnsi="仿宋_GB2312" w:eastAsia="仿宋_GB2312" w:cs="仿宋_GB2312"/>
          <w:b/>
          <w:sz w:val="30"/>
          <w:szCs w:val="30"/>
        </w:rPr>
      </w:pPr>
      <w:r>
        <w:rPr>
          <w:rFonts w:hint="eastAsia" w:ascii="仿宋_GB2312" w:hAnsi="仿宋_GB2312" w:eastAsia="仿宋_GB2312" w:cs="仿宋_GB2312"/>
        </w:rPr>
        <w:br w:type="page"/>
      </w:r>
      <w:r>
        <w:rPr>
          <w:rFonts w:hint="eastAsia" w:ascii="仿宋_GB2312" w:hAnsi="仿宋_GB2312" w:eastAsia="仿宋_GB2312" w:cs="仿宋_GB2312"/>
          <w:b/>
          <w:sz w:val="30"/>
          <w:szCs w:val="30"/>
        </w:rPr>
        <w:t>目 录</w:t>
      </w:r>
    </w:p>
    <w:p w14:paraId="1983AD69">
      <w:pPr>
        <w:pStyle w:val="31"/>
        <w:tabs>
          <w:tab w:val="right" w:leader="dot" w:pos="8640"/>
        </w:tabs>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"1-1" \h \u </w:instrText>
      </w:r>
      <w:r>
        <w:rPr>
          <w:rFonts w:hint="eastAsia" w:ascii="仿宋_GB2312" w:hAnsi="仿宋_GB2312" w:eastAsia="仿宋_GB2312" w:cs="仿宋_GB2312"/>
          <w:sz w:val="30"/>
          <w:szCs w:val="30"/>
        </w:rPr>
        <w:fldChar w:fldCharType="separate"/>
      </w:r>
      <w:r>
        <w:fldChar w:fldCharType="begin"/>
      </w:r>
      <w:r>
        <w:instrText xml:space="preserve"> HYPERLINK \l "_Toc5995" </w:instrText>
      </w:r>
      <w:r>
        <w:fldChar w:fldCharType="separate"/>
      </w:r>
      <w:r>
        <w:rPr>
          <w:rFonts w:hint="eastAsia" w:ascii="仿宋_GB2312" w:hAnsi="仿宋_GB2312" w:eastAsia="仿宋_GB2312" w:cs="仿宋_GB2312"/>
          <w:sz w:val="30"/>
          <w:szCs w:val="30"/>
        </w:rPr>
        <w:t>第一部分  询比公告</w:t>
      </w:r>
      <w:r>
        <w:rPr>
          <w:rFonts w:hint="eastAsia" w:ascii="仿宋_GB2312" w:hAnsi="仿宋_GB2312" w:eastAsia="仿宋_GB2312" w:cs="仿宋_GB2312"/>
          <w:sz w:val="30"/>
          <w:szCs w:val="30"/>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_Toc5995 \h </w:instrText>
      </w:r>
      <w:r>
        <w:rPr>
          <w:rFonts w:hint="eastAsia" w:ascii="仿宋" w:hAnsi="仿宋" w:eastAsia="仿宋" w:cs="仿宋"/>
          <w:sz w:val="28"/>
          <w:szCs w:val="28"/>
        </w:rPr>
        <w:fldChar w:fldCharType="separate"/>
      </w:r>
      <w:r>
        <w:rPr>
          <w:rFonts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BA04C37">
      <w:pPr>
        <w:pStyle w:val="31"/>
        <w:tabs>
          <w:tab w:val="right" w:leader="dot" w:pos="8640"/>
        </w:tabs>
        <w:ind w:firstLine="0" w:firstLineChars="0"/>
        <w:rPr>
          <w:rFonts w:ascii="仿宋" w:hAnsi="仿宋" w:eastAsia="仿宋" w:cs="仿宋"/>
          <w:sz w:val="28"/>
          <w:szCs w:val="28"/>
        </w:rPr>
      </w:pPr>
      <w:r>
        <w:fldChar w:fldCharType="begin"/>
      </w:r>
      <w:r>
        <w:instrText xml:space="preserve"> HYPERLINK \l "_Toc25643" </w:instrText>
      </w:r>
      <w:r>
        <w:fldChar w:fldCharType="separate"/>
      </w:r>
      <w:r>
        <w:rPr>
          <w:rFonts w:hint="eastAsia" w:ascii="仿宋_GB2312" w:hAnsi="仿宋_GB2312" w:eastAsia="仿宋_GB2312" w:cs="仿宋_GB2312"/>
          <w:sz w:val="30"/>
          <w:szCs w:val="30"/>
        </w:rPr>
        <w:t>第二部分  询比供应商须知</w:t>
      </w:r>
      <w:r>
        <w:rPr>
          <w:rFonts w:hint="eastAsia" w:ascii="仿宋_GB2312" w:hAnsi="仿宋_GB2312" w:eastAsia="仿宋_GB2312" w:cs="仿宋_GB2312"/>
          <w:sz w:val="30"/>
          <w:szCs w:val="30"/>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7F98C739">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"_Toc10019" </w:instrText>
      </w:r>
      <w:r>
        <w:fldChar w:fldCharType="separate"/>
      </w:r>
      <w:r>
        <w:rPr>
          <w:rFonts w:hint="eastAsia" w:ascii="仿宋_GB2312" w:hAnsi="仿宋_GB2312" w:eastAsia="仿宋_GB2312" w:cs="仿宋_GB2312"/>
          <w:sz w:val="30"/>
          <w:szCs w:val="30"/>
        </w:rPr>
        <w:t>第三部分  采购内容及</w:t>
      </w:r>
      <w:bookmarkStart w:id="2" w:name="_Hlt166158776"/>
      <w:r>
        <w:rPr>
          <w:rFonts w:hint="eastAsia" w:ascii="仿宋_GB2312" w:hAnsi="仿宋_GB2312" w:eastAsia="仿宋_GB2312" w:cs="仿宋_GB2312"/>
          <w:sz w:val="30"/>
          <w:szCs w:val="30"/>
        </w:rPr>
        <w:t>要</w:t>
      </w:r>
      <w:bookmarkEnd w:id="2"/>
      <w:r>
        <w:rPr>
          <w:rFonts w:hint="eastAsia" w:ascii="仿宋_GB2312" w:hAnsi="仿宋_GB2312" w:eastAsia="仿宋_GB2312" w:cs="仿宋_GB2312"/>
          <w:sz w:val="30"/>
          <w:szCs w:val="30"/>
        </w:rPr>
        <w:t>求</w:t>
      </w:r>
      <w:r>
        <w:rPr>
          <w:rFonts w:hint="eastAsia" w:ascii="仿宋_GB2312" w:hAnsi="仿宋_GB2312" w:eastAsia="仿宋_GB2312" w:cs="仿宋_GB2312"/>
          <w:sz w:val="30"/>
          <w:szCs w:val="30"/>
        </w:rPr>
        <w:tab/>
      </w:r>
      <w:r>
        <w:rPr>
          <w:rFonts w:hint="eastAsia" w:ascii="仿宋" w:hAnsi="仿宋" w:eastAsia="仿宋" w:cs="仿宋"/>
          <w:sz w:val="28"/>
          <w:szCs w:val="28"/>
        </w:rPr>
        <w:t>16</w:t>
      </w:r>
      <w:r>
        <w:rPr>
          <w:rFonts w:hint="eastAsia" w:ascii="仿宋" w:hAnsi="仿宋" w:eastAsia="仿宋" w:cs="仿宋"/>
          <w:sz w:val="28"/>
          <w:szCs w:val="28"/>
        </w:rPr>
        <w:fldChar w:fldCharType="end"/>
      </w:r>
    </w:p>
    <w:p w14:paraId="231FCF9E">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"_Toc4759" </w:instrText>
      </w:r>
      <w:r>
        <w:fldChar w:fldCharType="separate"/>
      </w:r>
      <w:r>
        <w:rPr>
          <w:rFonts w:hint="eastAsia" w:ascii="仿宋_GB2312" w:hAnsi="仿宋_GB2312" w:eastAsia="仿宋_GB2312" w:cs="仿宋_GB2312"/>
          <w:sz w:val="30"/>
          <w:szCs w:val="30"/>
        </w:rPr>
        <w:t>第四部分  评审标准及办法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 w:hAnsi="仿宋" w:eastAsia="仿宋" w:cs="仿宋"/>
          <w:sz w:val="28"/>
          <w:szCs w:val="28"/>
        </w:rPr>
        <w:t>23</w:t>
      </w:r>
    </w:p>
    <w:p w14:paraId="166CA842">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"_Toc31584" </w:instrText>
      </w:r>
      <w:r>
        <w:fldChar w:fldCharType="separate"/>
      </w:r>
      <w:r>
        <w:rPr>
          <w:rFonts w:hint="eastAsia" w:ascii="仿宋_GB2312" w:hAnsi="仿宋_GB2312" w:eastAsia="仿宋_GB2312" w:cs="仿宋_GB2312"/>
          <w:sz w:val="30"/>
          <w:szCs w:val="30"/>
        </w:rPr>
        <w:t>第五部分  询比纪律</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 w:hAnsi="仿宋" w:eastAsia="仿宋" w:cs="仿宋"/>
          <w:sz w:val="28"/>
          <w:szCs w:val="28"/>
        </w:rPr>
        <w:t>27</w:t>
      </w:r>
    </w:p>
    <w:p w14:paraId="617FA6DE">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"_Toc31052" </w:instrText>
      </w:r>
      <w:r>
        <w:fldChar w:fldCharType="separate"/>
      </w:r>
      <w:r>
        <w:rPr>
          <w:rFonts w:hint="eastAsia" w:ascii="仿宋_GB2312" w:hAnsi="仿宋_GB2312" w:eastAsia="仿宋_GB2312" w:cs="仿宋_GB2312"/>
          <w:sz w:val="30"/>
          <w:szCs w:val="30"/>
        </w:rPr>
        <w:t>第六部分  评审工作纪律</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 w:hAnsi="仿宋" w:eastAsia="仿宋" w:cs="仿宋"/>
          <w:sz w:val="28"/>
          <w:szCs w:val="28"/>
        </w:rPr>
        <w:t>28</w:t>
      </w:r>
    </w:p>
    <w:p w14:paraId="79318A02">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"_Toc27038" </w:instrText>
      </w:r>
      <w:r>
        <w:fldChar w:fldCharType="separate"/>
      </w:r>
      <w:r>
        <w:rPr>
          <w:rFonts w:hint="eastAsia" w:ascii="仿宋_GB2312" w:hAnsi="仿宋_GB2312" w:eastAsia="仿宋_GB2312" w:cs="仿宋_GB2312"/>
          <w:sz w:val="30"/>
          <w:szCs w:val="30"/>
        </w:rPr>
        <w:t>第七部分  合同条款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 w:hAnsi="仿宋" w:eastAsia="仿宋" w:cs="仿宋"/>
          <w:sz w:val="28"/>
          <w:szCs w:val="28"/>
        </w:rPr>
        <w:t>29</w:t>
      </w:r>
    </w:p>
    <w:p w14:paraId="7C885620">
      <w:pPr>
        <w:pStyle w:val="31"/>
        <w:tabs>
          <w:tab w:val="right" w:leader="dot" w:pos="8640"/>
        </w:tabs>
        <w:ind w:firstLine="0" w:firstLineChars="0"/>
        <w:rPr>
          <w:rFonts w:ascii="仿宋_GB2312" w:hAnsi="仿宋_GB2312" w:eastAsia="仿宋_GB2312" w:cs="仿宋_GB2312"/>
          <w:sz w:val="30"/>
          <w:szCs w:val="30"/>
        </w:rPr>
      </w:pPr>
      <w:r>
        <w:fldChar w:fldCharType="begin"/>
      </w:r>
      <w:r>
        <w:instrText xml:space="preserve"> HYPERLINK \l "_Toc24976" </w:instrText>
      </w:r>
      <w:r>
        <w:fldChar w:fldCharType="separate"/>
      </w:r>
      <w:r>
        <w:rPr>
          <w:rFonts w:hint="eastAsia" w:ascii="仿宋_GB2312" w:hAnsi="仿宋_GB2312" w:eastAsia="仿宋_GB2312" w:cs="仿宋_GB2312"/>
          <w:sz w:val="30"/>
          <w:szCs w:val="30"/>
        </w:rPr>
        <w:t>第八部分  询比响应文件格式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 w:hAnsi="仿宋" w:eastAsia="仿宋" w:cs="仿宋"/>
          <w:sz w:val="28"/>
          <w:szCs w:val="28"/>
        </w:rPr>
        <w:t>30</w:t>
      </w:r>
    </w:p>
    <w:p w14:paraId="155CFCF1">
      <w:pPr>
        <w:spacing w:line="600" w:lineRule="auto"/>
        <w:ind w:firstLine="600"/>
        <w:rPr>
          <w:rFonts w:ascii="仿宋_GB2312" w:hAnsi="仿宋_GB2312" w:eastAsia="仿宋_GB2312" w:cs="仿宋_GB2312"/>
          <w:sz w:val="24"/>
          <w:szCs w:val="24"/>
        </w:rPr>
      </w:pPr>
      <w:r>
        <w:rPr>
          <w:rFonts w:hint="eastAsia" w:ascii="仿宋_GB2312" w:hAnsi="仿宋_GB2312" w:eastAsia="仿宋_GB2312" w:cs="仿宋_GB2312"/>
          <w:sz w:val="30"/>
          <w:szCs w:val="30"/>
        </w:rPr>
        <w:fldChar w:fldCharType="end"/>
      </w:r>
    </w:p>
    <w:p w14:paraId="2B607202">
      <w:pPr>
        <w:ind w:firstLine="480"/>
        <w:rPr>
          <w:rFonts w:ascii="仿宋_GB2312" w:hAnsi="仿宋_GB2312" w:eastAsia="仿宋_GB2312" w:cs="仿宋_GB2312"/>
          <w:sz w:val="24"/>
          <w:szCs w:val="24"/>
        </w:rPr>
      </w:pPr>
    </w:p>
    <w:p w14:paraId="2E028301">
      <w:pPr>
        <w:ind w:firstLine="480"/>
        <w:rPr>
          <w:rFonts w:ascii="仿宋_GB2312" w:hAnsi="仿宋_GB2312" w:eastAsia="仿宋_GB2312" w:cs="仿宋_GB2312"/>
          <w:sz w:val="24"/>
          <w:szCs w:val="24"/>
        </w:rPr>
      </w:pPr>
    </w:p>
    <w:p w14:paraId="316893C2">
      <w:pPr>
        <w:ind w:firstLine="480"/>
        <w:rPr>
          <w:rFonts w:ascii="仿宋_GB2312" w:hAnsi="仿宋_GB2312" w:eastAsia="仿宋_GB2312" w:cs="仿宋_GB2312"/>
          <w:sz w:val="24"/>
          <w:szCs w:val="24"/>
        </w:rPr>
      </w:pPr>
    </w:p>
    <w:p w14:paraId="13F93D84">
      <w:pPr>
        <w:ind w:firstLine="480"/>
        <w:rPr>
          <w:rFonts w:ascii="仿宋_GB2312" w:hAnsi="仿宋_GB2312" w:eastAsia="仿宋_GB2312" w:cs="仿宋_GB2312"/>
          <w:sz w:val="24"/>
          <w:szCs w:val="24"/>
        </w:rPr>
      </w:pPr>
    </w:p>
    <w:p w14:paraId="5BB9A1BB">
      <w:pPr>
        <w:ind w:firstLine="480"/>
        <w:rPr>
          <w:rFonts w:ascii="仿宋_GB2312" w:hAnsi="仿宋_GB2312" w:eastAsia="仿宋_GB2312" w:cs="仿宋_GB2312"/>
          <w:sz w:val="24"/>
          <w:szCs w:val="24"/>
        </w:rPr>
      </w:pPr>
    </w:p>
    <w:p w14:paraId="7B7E6649">
      <w:pPr>
        <w:ind w:firstLine="480"/>
        <w:rPr>
          <w:rFonts w:ascii="仿宋_GB2312" w:hAnsi="仿宋_GB2312" w:eastAsia="仿宋_GB2312" w:cs="仿宋_GB2312"/>
          <w:sz w:val="24"/>
          <w:szCs w:val="24"/>
        </w:rPr>
      </w:pPr>
    </w:p>
    <w:p w14:paraId="3B26F92E">
      <w:pPr>
        <w:pStyle w:val="20"/>
        <w:ind w:firstLine="480"/>
        <w:rPr>
          <w:rFonts w:ascii="仿宋_GB2312" w:hAnsi="仿宋_GB2312" w:eastAsia="仿宋_GB2312" w:cs="仿宋_GB2312"/>
          <w:szCs w:val="24"/>
        </w:rPr>
      </w:pPr>
    </w:p>
    <w:p w14:paraId="61321A86">
      <w:pPr>
        <w:pStyle w:val="20"/>
        <w:ind w:firstLine="480"/>
        <w:rPr>
          <w:rFonts w:ascii="仿宋_GB2312" w:hAnsi="仿宋_GB2312" w:eastAsia="仿宋_GB2312" w:cs="仿宋_GB2312"/>
          <w:szCs w:val="24"/>
        </w:rPr>
      </w:pPr>
    </w:p>
    <w:p w14:paraId="5A306517">
      <w:pPr>
        <w:pStyle w:val="20"/>
        <w:ind w:firstLine="480"/>
        <w:rPr>
          <w:rFonts w:ascii="仿宋_GB2312" w:hAnsi="仿宋_GB2312" w:eastAsia="仿宋_GB2312" w:cs="仿宋_GB2312"/>
          <w:szCs w:val="24"/>
        </w:rPr>
      </w:pPr>
    </w:p>
    <w:p w14:paraId="0DA2F81A">
      <w:pPr>
        <w:pStyle w:val="20"/>
        <w:ind w:firstLine="480"/>
        <w:rPr>
          <w:rFonts w:ascii="仿宋_GB2312" w:hAnsi="仿宋_GB2312" w:eastAsia="仿宋_GB2312" w:cs="仿宋_GB2312"/>
          <w:szCs w:val="24"/>
        </w:rPr>
      </w:pPr>
    </w:p>
    <w:p w14:paraId="4014C1A1">
      <w:pPr>
        <w:pStyle w:val="20"/>
        <w:ind w:firstLine="480"/>
        <w:rPr>
          <w:rFonts w:ascii="仿宋_GB2312" w:hAnsi="仿宋_GB2312" w:eastAsia="仿宋_GB2312" w:cs="仿宋_GB2312"/>
          <w:szCs w:val="24"/>
        </w:rPr>
      </w:pPr>
    </w:p>
    <w:p w14:paraId="77552290">
      <w:pPr>
        <w:ind w:firstLine="602"/>
        <w:jc w:val="center"/>
        <w:rPr>
          <w:rFonts w:ascii="宋体" w:hAnsi="宋体" w:cs="宋体"/>
          <w:b/>
          <w:sz w:val="28"/>
          <w:u w:val="single"/>
        </w:rPr>
      </w:pPr>
      <w:r>
        <w:rPr>
          <w:rFonts w:hint="eastAsia" w:ascii="宋体" w:hAnsi="宋体" w:cs="宋体"/>
          <w:b/>
          <w:sz w:val="30"/>
          <w:u w:val="single"/>
        </w:rPr>
        <w:t>★敬告：参选前请认真阅读本询比文件！！</w:t>
      </w:r>
    </w:p>
    <w:p w14:paraId="181BEFCB">
      <w:pPr>
        <w:pStyle w:val="20"/>
        <w:ind w:firstLine="480"/>
        <w:rPr>
          <w:rFonts w:ascii="仿宋_GB2312" w:hAnsi="仿宋_GB2312" w:eastAsia="仿宋_GB2312" w:cs="仿宋_GB2312"/>
          <w:szCs w:val="24"/>
        </w:rPr>
      </w:pPr>
    </w:p>
    <w:p w14:paraId="02CAED6E">
      <w:pPr>
        <w:pStyle w:val="20"/>
        <w:ind w:firstLine="480"/>
        <w:rPr>
          <w:rFonts w:ascii="仿宋_GB2312" w:hAnsi="仿宋_GB2312" w:eastAsia="仿宋_GB2312" w:cs="仿宋_GB2312"/>
          <w:szCs w:val="24"/>
        </w:rPr>
      </w:pPr>
    </w:p>
    <w:p w14:paraId="3E034EA8">
      <w:pPr>
        <w:pStyle w:val="3"/>
        <w:rPr>
          <w:rFonts w:ascii="仿宋_GB2312" w:hAnsi="仿宋_GB2312" w:eastAsia="仿宋_GB2312" w:cs="仿宋_GB2312"/>
          <w:color w:val="auto"/>
        </w:rPr>
      </w:pPr>
      <w:bookmarkStart w:id="3" w:name="_Toc29544"/>
      <w:bookmarkStart w:id="4" w:name="_Toc20426"/>
      <w:bookmarkStart w:id="5" w:name="_Toc10815"/>
      <w:bookmarkStart w:id="6" w:name="_Toc5995"/>
      <w:bookmarkStart w:id="7" w:name="_Toc2034"/>
      <w:bookmarkStart w:id="8" w:name="_Toc15038"/>
      <w:r>
        <w:rPr>
          <w:rFonts w:hint="eastAsia" w:ascii="仿宋_GB2312" w:hAnsi="仿宋_GB2312" w:eastAsia="仿宋_GB2312" w:cs="仿宋_GB2312"/>
          <w:color w:val="auto"/>
        </w:rPr>
        <w:t>第一部分</w:t>
      </w:r>
      <w:bookmarkEnd w:id="3"/>
      <w:bookmarkEnd w:id="4"/>
      <w:bookmarkEnd w:id="5"/>
      <w:r>
        <w:rPr>
          <w:rFonts w:hint="eastAsia" w:ascii="仿宋_GB2312" w:hAnsi="仿宋_GB2312" w:eastAsia="仿宋_GB2312" w:cs="仿宋_GB2312"/>
          <w:color w:val="auto"/>
        </w:rPr>
        <w:t xml:space="preserve">  </w:t>
      </w:r>
      <w:bookmarkEnd w:id="6"/>
      <w:bookmarkEnd w:id="7"/>
      <w:r>
        <w:rPr>
          <w:rFonts w:hint="eastAsia" w:ascii="仿宋_GB2312" w:hAnsi="仿宋_GB2312" w:eastAsia="仿宋_GB2312" w:cs="仿宋_GB2312"/>
          <w:color w:val="auto"/>
        </w:rPr>
        <w:t>询比</w:t>
      </w:r>
      <w:r>
        <w:rPr>
          <w:rFonts w:hint="eastAsia" w:ascii="仿宋_GB2312" w:hAnsi="仿宋_GB2312" w:eastAsia="仿宋_GB2312" w:cs="仿宋_GB2312"/>
          <w:color w:val="auto"/>
          <w:lang w:val="en-US" w:eastAsia="zh-CN"/>
        </w:rPr>
        <w:t>采购</w:t>
      </w:r>
      <w:r>
        <w:rPr>
          <w:rFonts w:hint="eastAsia" w:ascii="仿宋_GB2312" w:hAnsi="仿宋_GB2312" w:eastAsia="仿宋_GB2312" w:cs="仿宋_GB2312"/>
          <w:color w:val="auto"/>
        </w:rPr>
        <w:t>公告</w:t>
      </w:r>
      <w:bookmarkEnd w:id="8"/>
    </w:p>
    <w:p w14:paraId="1FED57A1">
      <w:pPr>
        <w:wordWrap w:val="0"/>
        <w:adjustRightInd w:val="0"/>
        <w:snapToGrid w:val="0"/>
        <w:ind w:firstLine="482"/>
        <w:jc w:val="both"/>
        <w:rPr>
          <w:rFonts w:ascii="仿宋" w:hAnsi="仿宋" w:eastAsia="仿宋" w:cs="仿宋"/>
          <w:sz w:val="24"/>
          <w:szCs w:val="24"/>
          <w:lang w:bidi="ar"/>
        </w:rPr>
      </w:pPr>
      <w:bookmarkStart w:id="9" w:name="_Toc13999"/>
      <w:bookmarkStart w:id="10" w:name="_Toc24660"/>
      <w:r>
        <w:rPr>
          <w:rFonts w:hint="eastAsia" w:ascii="仿宋" w:hAnsi="仿宋" w:eastAsia="仿宋" w:cs="仿宋"/>
          <w:b/>
          <w:sz w:val="24"/>
          <w:szCs w:val="24"/>
          <w:u w:val="single"/>
        </w:rPr>
        <w:t>贵州茅台酒厂（集团）保健酒业销售有限公司</w:t>
      </w:r>
      <w:r>
        <w:rPr>
          <w:rFonts w:hint="eastAsia" w:ascii="仿宋" w:hAnsi="仿宋" w:eastAsia="仿宋" w:cs="仿宋"/>
          <w:sz w:val="24"/>
          <w:szCs w:val="24"/>
        </w:rPr>
        <w:t>对</w:t>
      </w:r>
      <w:r>
        <w:rPr>
          <w:rFonts w:hint="eastAsia" w:ascii="仿宋" w:hAnsi="仿宋" w:eastAsia="仿宋" w:cs="仿宋"/>
          <w:b/>
          <w:sz w:val="24"/>
          <w:szCs w:val="24"/>
          <w:u w:val="single"/>
        </w:rPr>
        <w:t>i茅台台源6-12月活动奖品采购项目（手机、扫地机等消费电子产品采购）（二次）</w:t>
      </w:r>
      <w:r>
        <w:rPr>
          <w:rFonts w:hint="eastAsia" w:ascii="仿宋" w:hAnsi="仿宋" w:eastAsia="仿宋" w:cs="仿宋"/>
          <w:sz w:val="24"/>
          <w:szCs w:val="24"/>
        </w:rPr>
        <w:t>组织询比，询比公告在</w:t>
      </w:r>
      <w:r>
        <w:rPr>
          <w:rFonts w:hint="eastAsia" w:ascii="仿宋" w:hAnsi="仿宋" w:eastAsia="仿宋" w:cs="仿宋"/>
          <w:b/>
          <w:sz w:val="24"/>
          <w:szCs w:val="24"/>
          <w:u w:val="single"/>
        </w:rPr>
        <w:t>贵州省招标投标公共服务平台及贵州茅台酒厂集团）保健酒业有限公司官网“招采信息”栏</w:t>
      </w:r>
      <w:r>
        <w:rPr>
          <w:rFonts w:hint="eastAsia" w:ascii="仿宋" w:hAnsi="仿宋" w:eastAsia="仿宋" w:cs="仿宋"/>
          <w:sz w:val="24"/>
          <w:szCs w:val="24"/>
        </w:rPr>
        <w:t>发布，欢迎符合资格条件的供应商参加询比。</w:t>
      </w:r>
    </w:p>
    <w:p w14:paraId="6F4788BD">
      <w:pPr>
        <w:widowControl/>
        <w:ind w:firstLine="482"/>
        <w:outlineLvl w:val="1"/>
        <w:rPr>
          <w:rFonts w:ascii="仿宋" w:hAnsi="仿宋" w:eastAsia="仿宋" w:cs="仿宋"/>
          <w:sz w:val="24"/>
          <w:szCs w:val="24"/>
        </w:rPr>
      </w:pPr>
      <w:bookmarkStart w:id="11" w:name="_Toc8333"/>
      <w:r>
        <w:rPr>
          <w:rFonts w:hint="eastAsia" w:ascii="仿宋" w:hAnsi="仿宋" w:eastAsia="仿宋" w:cs="仿宋"/>
          <w:b/>
          <w:bCs/>
          <w:kern w:val="0"/>
          <w:sz w:val="24"/>
          <w:szCs w:val="24"/>
          <w:lang w:bidi="ar"/>
        </w:rPr>
        <w:t>一、项目名称：</w:t>
      </w:r>
      <w:bookmarkEnd w:id="11"/>
    </w:p>
    <w:p w14:paraId="1D3608BC">
      <w:pPr>
        <w:pStyle w:val="25"/>
        <w:adjustRightInd w:val="0"/>
        <w:snapToGrid w:val="0"/>
        <w:ind w:firstLine="480"/>
        <w:outlineLvl w:val="1"/>
        <w:rPr>
          <w:rFonts w:ascii="仿宋" w:hAnsi="仿宋" w:eastAsia="仿宋" w:cs="仿宋"/>
          <w:bCs/>
          <w:sz w:val="24"/>
          <w:szCs w:val="24"/>
        </w:rPr>
      </w:pPr>
      <w:bookmarkStart w:id="12" w:name="_Toc1210"/>
      <w:r>
        <w:rPr>
          <w:rFonts w:hint="eastAsia" w:ascii="仿宋" w:hAnsi="仿宋" w:eastAsia="仿宋" w:cs="仿宋"/>
          <w:bCs/>
          <w:sz w:val="24"/>
          <w:szCs w:val="24"/>
        </w:rPr>
        <w:t>i茅台台源6-12月活动奖品采购项目（手机、扫地机等消费电子产品采购）（二次）</w:t>
      </w:r>
    </w:p>
    <w:p w14:paraId="3DBE5259">
      <w:pPr>
        <w:pStyle w:val="25"/>
        <w:adjustRightInd w:val="0"/>
        <w:snapToGrid w:val="0"/>
        <w:ind w:firstLine="482"/>
        <w:outlineLvl w:val="1"/>
        <w:rPr>
          <w:rFonts w:ascii="仿宋" w:hAnsi="仿宋" w:eastAsia="仿宋" w:cs="仿宋"/>
          <w:b/>
          <w:sz w:val="24"/>
          <w:szCs w:val="24"/>
        </w:rPr>
      </w:pPr>
      <w:r>
        <w:rPr>
          <w:rFonts w:hint="eastAsia" w:ascii="仿宋" w:hAnsi="仿宋" w:eastAsia="仿宋" w:cs="仿宋"/>
          <w:b/>
          <w:sz w:val="24"/>
          <w:szCs w:val="24"/>
        </w:rPr>
        <w:t>二、采购项目的内容：</w:t>
      </w:r>
      <w:bookmarkEnd w:id="9"/>
      <w:bookmarkEnd w:id="10"/>
      <w:bookmarkEnd w:id="12"/>
    </w:p>
    <w:p w14:paraId="4E62E0B0">
      <w:pPr>
        <w:pStyle w:val="23"/>
        <w:ind w:firstLine="480"/>
        <w:outlineLvl w:val="2"/>
        <w:rPr>
          <w:rFonts w:ascii="仿宋" w:hAnsi="仿宋" w:eastAsia="仿宋" w:cs="仿宋"/>
          <w:kern w:val="0"/>
          <w:sz w:val="24"/>
          <w:szCs w:val="24"/>
        </w:rPr>
      </w:pPr>
      <w:bookmarkStart w:id="13" w:name="_Toc23253"/>
      <w:bookmarkStart w:id="14" w:name="_Toc12553"/>
      <w:bookmarkStart w:id="15" w:name="_Toc15796"/>
      <w:r>
        <w:rPr>
          <w:rFonts w:hint="eastAsia" w:ascii="仿宋" w:hAnsi="仿宋" w:eastAsia="仿宋" w:cs="仿宋"/>
          <w:kern w:val="0"/>
          <w:sz w:val="24"/>
          <w:szCs w:val="24"/>
        </w:rPr>
        <w:t>1.采购内容：</w:t>
      </w:r>
      <w:bookmarkEnd w:id="13"/>
    </w:p>
    <w:p w14:paraId="4969E3EB">
      <w:pPr>
        <w:pStyle w:val="23"/>
        <w:ind w:firstLine="482"/>
        <w:jc w:val="center"/>
        <w:outlineLvl w:val="2"/>
        <w:rPr>
          <w:rFonts w:ascii="仿宋" w:hAnsi="仿宋" w:eastAsia="仿宋" w:cs="仿宋"/>
          <w:b/>
          <w:sz w:val="24"/>
          <w:szCs w:val="24"/>
        </w:rPr>
      </w:pPr>
      <w:r>
        <w:rPr>
          <w:rFonts w:ascii="仿宋" w:hAnsi="仿宋" w:eastAsia="仿宋" w:cs="仿宋"/>
          <w:b/>
          <w:kern w:val="0"/>
          <w:sz w:val="24"/>
          <w:szCs w:val="24"/>
        </w:rPr>
        <w:t xml:space="preserve"> </w:t>
      </w:r>
      <w:r>
        <w:rPr>
          <w:rFonts w:hint="eastAsia" w:ascii="仿宋" w:hAnsi="仿宋" w:eastAsia="仿宋" w:cs="仿宋"/>
          <w:b/>
          <w:sz w:val="24"/>
          <w:szCs w:val="24"/>
        </w:rPr>
        <w:t>采购清单</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5914"/>
        <w:gridCol w:w="1077"/>
        <w:gridCol w:w="1075"/>
      </w:tblGrid>
      <w:tr w14:paraId="05DD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vAlign w:val="center"/>
          </w:tcPr>
          <w:p w14:paraId="0A231555">
            <w:pPr>
              <w:spacing w:line="560" w:lineRule="exact"/>
              <w:ind w:firstLine="0" w:firstLineChars="0"/>
              <w:jc w:val="center"/>
              <w:rPr>
                <w:rFonts w:ascii="仿宋_GB2312" w:hAnsi="仿宋_GB2312" w:eastAsia="仿宋_GB2312" w:cs="仿宋_GB2312"/>
                <w:sz w:val="20"/>
              </w:rPr>
            </w:pPr>
            <w:r>
              <w:rPr>
                <w:rFonts w:hint="eastAsia" w:ascii="仿宋_GB2312" w:hAnsi="仿宋_GB2312" w:eastAsia="仿宋_GB2312" w:cs="仿宋_GB2312"/>
                <w:sz w:val="20"/>
              </w:rPr>
              <w:t>序号</w:t>
            </w:r>
          </w:p>
        </w:tc>
        <w:tc>
          <w:tcPr>
            <w:tcW w:w="3339" w:type="pct"/>
            <w:vAlign w:val="center"/>
          </w:tcPr>
          <w:p w14:paraId="7EF60F4A">
            <w:pPr>
              <w:pStyle w:val="28"/>
              <w:spacing w:line="560" w:lineRule="exact"/>
              <w:ind w:firstLine="0" w:firstLineChars="0"/>
              <w:jc w:val="center"/>
              <w:rPr>
                <w:rFonts w:ascii="仿宋_GB2312" w:hAnsi="仿宋_GB2312" w:eastAsia="仿宋_GB2312" w:cs="仿宋_GB2312"/>
                <w:sz w:val="20"/>
              </w:rPr>
            </w:pPr>
            <w:r>
              <w:rPr>
                <w:rFonts w:hint="eastAsia" w:ascii="仿宋_GB2312" w:hAnsi="仿宋_GB2312" w:eastAsia="仿宋_GB2312" w:cs="仿宋_GB2312"/>
                <w:sz w:val="20"/>
              </w:rPr>
              <w:t>需求名称</w:t>
            </w:r>
          </w:p>
        </w:tc>
        <w:tc>
          <w:tcPr>
            <w:tcW w:w="608" w:type="pct"/>
            <w:vAlign w:val="center"/>
          </w:tcPr>
          <w:p w14:paraId="40B5954A">
            <w:pPr>
              <w:ind w:firstLine="0" w:firstLineChars="0"/>
              <w:jc w:val="center"/>
              <w:rPr>
                <w:rFonts w:ascii="宋体" w:hAnsi="宋体" w:cs="宋体"/>
                <w:sz w:val="20"/>
              </w:rPr>
            </w:pPr>
            <w:r>
              <w:rPr>
                <w:rFonts w:hint="eastAsia" w:ascii="仿宋_GB2312" w:hAnsi="仿宋_GB2312" w:eastAsia="仿宋_GB2312" w:cs="仿宋_GB2312"/>
                <w:sz w:val="20"/>
              </w:rPr>
              <w:t>数量</w:t>
            </w:r>
          </w:p>
        </w:tc>
        <w:tc>
          <w:tcPr>
            <w:tcW w:w="607" w:type="pct"/>
            <w:vAlign w:val="center"/>
          </w:tcPr>
          <w:p w14:paraId="112CFC72">
            <w:pPr>
              <w:ind w:firstLine="0" w:firstLineChars="0"/>
              <w:jc w:val="center"/>
              <w:rPr>
                <w:rFonts w:ascii="仿宋_GB2312" w:eastAsia="仿宋_GB2312"/>
                <w:sz w:val="20"/>
              </w:rPr>
            </w:pPr>
            <w:r>
              <w:rPr>
                <w:rFonts w:hint="eastAsia" w:ascii="仿宋_GB2312" w:eastAsia="仿宋_GB2312"/>
                <w:sz w:val="20"/>
              </w:rPr>
              <w:t>单位</w:t>
            </w:r>
          </w:p>
        </w:tc>
      </w:tr>
      <w:tr w14:paraId="4A89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vAlign w:val="center"/>
          </w:tcPr>
          <w:p w14:paraId="1390B50B">
            <w:pPr>
              <w:spacing w:line="560" w:lineRule="exact"/>
              <w:ind w:firstLine="0" w:firstLineChars="0"/>
              <w:jc w:val="center"/>
              <w:rPr>
                <w:rFonts w:ascii="仿宋_GB2312" w:hAnsi="仿宋_GB2312" w:eastAsia="仿宋_GB2312" w:cs="仿宋_GB2312"/>
                <w:sz w:val="20"/>
              </w:rPr>
            </w:pPr>
            <w:r>
              <w:rPr>
                <w:rFonts w:hint="eastAsia" w:ascii="仿宋_GB2312" w:hAnsi="仿宋_GB2312" w:eastAsia="仿宋_GB2312" w:cs="仿宋_GB2312"/>
                <w:sz w:val="20"/>
              </w:rPr>
              <w:t>1</w:t>
            </w:r>
          </w:p>
        </w:tc>
        <w:tc>
          <w:tcPr>
            <w:tcW w:w="3339" w:type="pct"/>
            <w:vAlign w:val="center"/>
          </w:tcPr>
          <w:p w14:paraId="317E2EB4">
            <w:pPr>
              <w:pStyle w:val="28"/>
              <w:spacing w:line="560" w:lineRule="exact"/>
              <w:ind w:firstLine="400"/>
              <w:jc w:val="center"/>
              <w:rPr>
                <w:rFonts w:ascii="仿宋_GB2312" w:hAnsi="仿宋_GB2312" w:eastAsia="仿宋_GB2312" w:cs="仿宋_GB2312"/>
                <w:sz w:val="20"/>
              </w:rPr>
            </w:pPr>
            <w:r>
              <w:rPr>
                <w:rFonts w:hint="eastAsia" w:ascii="仿宋_GB2312" w:hAnsi="仿宋_GB2312" w:eastAsia="仿宋_GB2312" w:cs="仿宋_GB2312"/>
                <w:sz w:val="20"/>
              </w:rPr>
              <w:t xml:space="preserve">科沃斯扫地机器人X9（上下水版）  </w:t>
            </w:r>
          </w:p>
        </w:tc>
        <w:tc>
          <w:tcPr>
            <w:tcW w:w="608" w:type="pct"/>
            <w:vAlign w:val="center"/>
          </w:tcPr>
          <w:p w14:paraId="50D282B6">
            <w:pPr>
              <w:ind w:firstLine="0" w:firstLineChars="0"/>
              <w:jc w:val="center"/>
              <w:rPr>
                <w:rFonts w:ascii="宋体" w:hAnsi="宋体" w:cs="宋体"/>
                <w:sz w:val="20"/>
              </w:rPr>
            </w:pPr>
            <w:r>
              <w:rPr>
                <w:rFonts w:hint="eastAsia" w:ascii="宋体" w:hAnsi="宋体" w:cs="宋体"/>
                <w:sz w:val="20"/>
              </w:rPr>
              <w:t>5</w:t>
            </w:r>
          </w:p>
        </w:tc>
        <w:tc>
          <w:tcPr>
            <w:tcW w:w="607" w:type="pct"/>
            <w:vAlign w:val="center"/>
          </w:tcPr>
          <w:p w14:paraId="36ED595C">
            <w:pPr>
              <w:ind w:firstLine="0" w:firstLineChars="0"/>
              <w:jc w:val="center"/>
              <w:rPr>
                <w:rFonts w:ascii="仿宋_GB2312" w:eastAsia="仿宋_GB2312"/>
                <w:sz w:val="20"/>
              </w:rPr>
            </w:pPr>
            <w:r>
              <w:rPr>
                <w:rFonts w:hint="eastAsia" w:ascii="仿宋_GB2312" w:eastAsia="仿宋_GB2312"/>
                <w:sz w:val="20"/>
              </w:rPr>
              <w:t>台</w:t>
            </w:r>
          </w:p>
        </w:tc>
      </w:tr>
      <w:tr w14:paraId="01B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vAlign w:val="center"/>
          </w:tcPr>
          <w:p w14:paraId="2631C01D">
            <w:pPr>
              <w:spacing w:line="560" w:lineRule="exact"/>
              <w:ind w:firstLine="0" w:firstLineChars="0"/>
              <w:jc w:val="center"/>
              <w:rPr>
                <w:rFonts w:ascii="仿宋_GB2312" w:hAnsi="仿宋_GB2312" w:eastAsia="仿宋_GB2312" w:cs="仿宋_GB2312"/>
                <w:sz w:val="20"/>
              </w:rPr>
            </w:pPr>
            <w:r>
              <w:rPr>
                <w:rFonts w:hint="eastAsia" w:ascii="仿宋_GB2312" w:hAnsi="仿宋_GB2312" w:eastAsia="仿宋_GB2312" w:cs="仿宋_GB2312"/>
                <w:sz w:val="20"/>
              </w:rPr>
              <w:t>2</w:t>
            </w:r>
          </w:p>
        </w:tc>
        <w:tc>
          <w:tcPr>
            <w:tcW w:w="3339" w:type="pct"/>
            <w:vAlign w:val="center"/>
          </w:tcPr>
          <w:p w14:paraId="5DA3E3C3">
            <w:pPr>
              <w:pStyle w:val="28"/>
              <w:spacing w:line="560" w:lineRule="exact"/>
              <w:ind w:firstLine="400"/>
              <w:jc w:val="center"/>
              <w:rPr>
                <w:rFonts w:ascii="仿宋_GB2312" w:hAnsi="仿宋_GB2312" w:eastAsia="仿宋_GB2312" w:cs="仿宋_GB2312"/>
                <w:sz w:val="20"/>
              </w:rPr>
            </w:pPr>
            <w:r>
              <w:rPr>
                <w:rFonts w:hint="eastAsia" w:ascii="仿宋_GB2312" w:hAnsi="仿宋_GB2312" w:eastAsia="仿宋_GB2312" w:cs="仿宋_GB2312"/>
                <w:sz w:val="20"/>
              </w:rPr>
              <w:t xml:space="preserve">格力空调·云佳1.5匹  </w:t>
            </w:r>
          </w:p>
        </w:tc>
        <w:tc>
          <w:tcPr>
            <w:tcW w:w="608" w:type="pct"/>
            <w:vAlign w:val="center"/>
          </w:tcPr>
          <w:p w14:paraId="736597C3">
            <w:pPr>
              <w:ind w:firstLine="0" w:firstLineChars="0"/>
              <w:jc w:val="center"/>
              <w:rPr>
                <w:rFonts w:ascii="宋体" w:hAnsi="宋体" w:cs="宋体"/>
                <w:sz w:val="20"/>
              </w:rPr>
            </w:pPr>
            <w:r>
              <w:rPr>
                <w:rFonts w:hint="eastAsia" w:ascii="宋体" w:hAnsi="宋体" w:cs="宋体"/>
                <w:sz w:val="20"/>
              </w:rPr>
              <w:t>7</w:t>
            </w:r>
          </w:p>
        </w:tc>
        <w:tc>
          <w:tcPr>
            <w:tcW w:w="607" w:type="pct"/>
            <w:vAlign w:val="center"/>
          </w:tcPr>
          <w:p w14:paraId="1B7C1192">
            <w:pPr>
              <w:ind w:firstLine="0" w:firstLineChars="0"/>
              <w:jc w:val="center"/>
              <w:rPr>
                <w:rFonts w:ascii="仿宋_GB2312" w:eastAsia="仿宋_GB2312"/>
                <w:sz w:val="20"/>
              </w:rPr>
            </w:pPr>
            <w:r>
              <w:rPr>
                <w:rFonts w:hint="eastAsia" w:ascii="仿宋_GB2312" w:eastAsia="仿宋_GB2312"/>
                <w:sz w:val="20"/>
              </w:rPr>
              <w:t>台</w:t>
            </w:r>
          </w:p>
        </w:tc>
      </w:tr>
    </w:tbl>
    <w:p w14:paraId="7E598210">
      <w:pPr>
        <w:widowControl/>
        <w:snapToGrid w:val="0"/>
        <w:ind w:firstLine="480"/>
        <w:rPr>
          <w:rFonts w:ascii="仿宋" w:hAnsi="仿宋" w:eastAsia="仿宋" w:cs="仿宋"/>
          <w:bCs/>
          <w:sz w:val="24"/>
          <w:szCs w:val="24"/>
        </w:rPr>
      </w:pPr>
      <w:r>
        <w:rPr>
          <w:rFonts w:hint="eastAsia" w:ascii="仿宋" w:hAnsi="仿宋" w:eastAsia="仿宋" w:cs="仿宋"/>
          <w:kern w:val="0"/>
          <w:sz w:val="24"/>
          <w:szCs w:val="24"/>
        </w:rPr>
        <w:t>2.交货期：</w:t>
      </w:r>
      <w:r>
        <w:rPr>
          <w:rFonts w:hint="eastAsia" w:ascii="仿宋" w:hAnsi="仿宋" w:eastAsia="仿宋" w:cs="仿宋"/>
          <w:bCs/>
          <w:sz w:val="24"/>
          <w:szCs w:val="24"/>
        </w:rPr>
        <w:t>接采购人通知之日起10日历天内完成供货。</w:t>
      </w:r>
    </w:p>
    <w:p w14:paraId="4ADF9BE5">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3.交货地点：贵州省遵义市</w:t>
      </w:r>
    </w:p>
    <w:p w14:paraId="7F6C723C">
      <w:pPr>
        <w:widowControl/>
        <w:snapToGrid w:val="0"/>
        <w:ind w:firstLine="480"/>
        <w:rPr>
          <w:rFonts w:ascii="仿宋" w:hAnsi="仿宋" w:eastAsia="仿宋" w:cs="仿宋"/>
          <w:kern w:val="0"/>
          <w:sz w:val="24"/>
          <w:szCs w:val="24"/>
          <w:lang w:val="zh-CN"/>
        </w:rPr>
      </w:pPr>
      <w:r>
        <w:rPr>
          <w:rFonts w:hint="eastAsia" w:ascii="仿宋" w:hAnsi="仿宋" w:eastAsia="仿宋" w:cs="仿宋"/>
          <w:kern w:val="0"/>
          <w:sz w:val="24"/>
          <w:szCs w:val="24"/>
        </w:rPr>
        <w:t>4.质量标准：符合国家、行业、采购人现行有关质量规范标准及采购文件相关参数要求。</w:t>
      </w:r>
    </w:p>
    <w:p w14:paraId="7E676406">
      <w:pPr>
        <w:pStyle w:val="23"/>
        <w:ind w:firstLine="480"/>
        <w:rPr>
          <w:rFonts w:ascii="仿宋" w:hAnsi="仿宋" w:eastAsia="仿宋" w:cs="仿宋"/>
          <w:kern w:val="0"/>
          <w:sz w:val="24"/>
          <w:szCs w:val="24"/>
        </w:rPr>
      </w:pPr>
      <w:r>
        <w:rPr>
          <w:rFonts w:hint="eastAsia" w:ascii="仿宋" w:hAnsi="仿宋" w:eastAsia="仿宋" w:cs="仿宋"/>
          <w:kern w:val="0"/>
          <w:sz w:val="24"/>
          <w:szCs w:val="24"/>
        </w:rPr>
        <w:t>5.资金来源：自筹资金，已100%落实。</w:t>
      </w:r>
    </w:p>
    <w:p w14:paraId="5F7540AD">
      <w:pPr>
        <w:autoSpaceDN w:val="0"/>
        <w:ind w:left="479" w:leftChars="228" w:firstLine="0" w:firstLineChars="0"/>
        <w:outlineLvl w:val="1"/>
        <w:rPr>
          <w:rFonts w:ascii="仿宋" w:hAnsi="仿宋" w:eastAsia="仿宋" w:cs="仿宋"/>
          <w:b/>
          <w:sz w:val="24"/>
          <w:szCs w:val="24"/>
        </w:rPr>
      </w:pPr>
      <w:bookmarkStart w:id="16" w:name="_Toc18000"/>
      <w:r>
        <w:rPr>
          <w:rFonts w:hint="eastAsia" w:ascii="仿宋" w:hAnsi="仿宋" w:eastAsia="仿宋" w:cs="仿宋"/>
          <w:b/>
          <w:sz w:val="24"/>
          <w:szCs w:val="24"/>
        </w:rPr>
        <w:t>三、询比供应商资格要求：</w:t>
      </w:r>
      <w:bookmarkEnd w:id="14"/>
      <w:bookmarkEnd w:id="15"/>
      <w:bookmarkEnd w:id="16"/>
    </w:p>
    <w:p w14:paraId="303F087C">
      <w:pPr>
        <w:widowControl/>
        <w:snapToGrid w:val="0"/>
        <w:ind w:firstLine="480"/>
        <w:rPr>
          <w:rFonts w:ascii="仿宋" w:hAnsi="仿宋" w:eastAsia="仿宋" w:cs="仿宋"/>
          <w:kern w:val="0"/>
          <w:sz w:val="24"/>
          <w:szCs w:val="24"/>
        </w:rPr>
      </w:pPr>
      <w:bookmarkStart w:id="17" w:name="_Toc30209"/>
      <w:r>
        <w:rPr>
          <w:rFonts w:hint="eastAsia" w:ascii="仿宋" w:hAnsi="仿宋" w:eastAsia="仿宋" w:cs="仿宋"/>
          <w:kern w:val="0"/>
          <w:sz w:val="24"/>
          <w:szCs w:val="24"/>
        </w:rPr>
        <w:t>1.具有中华人民共和国境内依法登记注册的独立法人资格，具有独立承担民事责任的能力。提供有效的营业执照副本复印件或扫描件加盖供应商公章（鲜章或电子印章）；</w:t>
      </w:r>
    </w:p>
    <w:p w14:paraId="7D355C81">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2.具有依法缴纳税收和社会保障资金的良好记录（新成立不足3个月的供应商本项不作要求）。提供2024年1月至本项目响应文件递交截止时间前任意连续三个月缴纳税收和社会保障资金凭证等相关资料复印件或扫描件加盖供应商单位公章（鲜章或电子印章）；</w:t>
      </w:r>
    </w:p>
    <w:p w14:paraId="032AAA71">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3.近三年（2022年1月1日至本项目响应文件递交截止时间）供应商未发生过一般及以上质量或安全事故。供应商提供承诺，并加盖供应商单位公章（鲜章或电子印章）；</w:t>
      </w:r>
    </w:p>
    <w:p w14:paraId="16D961FB">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4.具有履行合同所必备的设备和技术能力。供应商提供承诺，并加盖供应商单位公章（鲜章或电子印章）；</w:t>
      </w:r>
    </w:p>
    <w:p w14:paraId="2C90A51E">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5.本项目不接受的供应商：</w:t>
      </w:r>
    </w:p>
    <w:p w14:paraId="441B2C97">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（1）单位负责人为同一人或存在控股、管理关系的不同供应商不得同时参与本项目询比。供应商提供承诺，并加盖供应商单位公章（鲜章或电子印章）；</w:t>
      </w:r>
    </w:p>
    <w:p w14:paraId="618A7BA3">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（2）被责令停业，暂扣或吊销执照，吊销资质证书，执照、资质证书过期或存在引起执照、资质证书变更的事项而未变更执照、资质证书的。供应商提供承诺，并加盖供应商单位公章（鲜章或电子印章）；</w:t>
      </w:r>
    </w:p>
    <w:p w14:paraId="18B613CE">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（3）进入清算程序，或被宣告破产，或其他丧失履约能力的情形。供应商提供承诺，并加盖供应商单位公章（鲜章或电子印章）；</w:t>
      </w:r>
    </w:p>
    <w:p w14:paraId="1C22756B">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4）在国家企业信用信息公示系统（http://www.gsxt.gov.cn/）中被列入严重违法失信企业名单。供应商自行承诺在国家企业信用信息公示系统（http://www.gsxt.gov.cn/）中未被列入严重违法失信企业名单，并加盖供应商单位公章（鲜章或电子印章），采购人保留在上述网站查询复核的权利；</w:t>
      </w:r>
    </w:p>
    <w:p w14:paraId="70FF4A75">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5）在中国执行信息公开网（http://zxgk.court.gov.cn/）中被列入失信被执行人名单。供应商自行承诺在“信用中国”网站（https://www.creditchina.gov.cn/）或中国执行信息公开网（http://zxgk.court.gov.cn/）中未被列入失信被执行人名单，并加盖供应商单位公章（鲜章或电子印章），采购人保留在上述网站查询复核的权利；</w:t>
      </w:r>
    </w:p>
    <w:p w14:paraId="0CD85A60">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6）供应商及其法定代表人在近五年内（2020年1月1日本项目响应文件递交截止时间）有行贿犯罪行为的，行贿犯罪行为的认定以中国裁判文书网上（http://wenshu.court.gov.cn/）中查询结果为准。供应商自行承诺供应商及其法定代表人在近五年内（2020年1月1日本项目响应文件递交截止时间）无行贿犯罪行为，并加盖供应商单位公章（鲜章或电子印章），采购人保留在上述网站查询复核的权利；</w:t>
      </w:r>
    </w:p>
    <w:p w14:paraId="630FCFB1">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（7）国家企业信用信息公示系统（http://www.gsxt.gov.cn/）中公示的主要人员存在相互任职的不同单位不得同时参与本项目询比；供应商提供承诺，并加盖供应商单位公章（鲜章或电子印章）；</w:t>
      </w:r>
    </w:p>
    <w:p w14:paraId="709FA9B1">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6.本项目不允许联合体参与询比；不允许分包、转包。供应商提供承诺，并加盖供应商单位公章（鲜章或电子印章）；</w:t>
      </w:r>
    </w:p>
    <w:p w14:paraId="383DD6D3">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四、询比文件获取信息</w:t>
      </w:r>
      <w:bookmarkEnd w:id="17"/>
    </w:p>
    <w:p w14:paraId="3767294E">
      <w:pPr>
        <w:wordWrap w:val="0"/>
        <w:ind w:firstLine="480"/>
        <w:rPr>
          <w:rFonts w:ascii="仿宋" w:hAnsi="仿宋" w:eastAsia="仿宋" w:cs="仿宋"/>
          <w:sz w:val="24"/>
          <w:szCs w:val="24"/>
        </w:rPr>
      </w:pPr>
      <w:bookmarkStart w:id="18" w:name="_Toc28917"/>
      <w:r>
        <w:rPr>
          <w:rFonts w:hint="eastAsia" w:ascii="仿宋" w:hAnsi="仿宋" w:eastAsia="仿宋" w:cs="仿宋"/>
          <w:sz w:val="24"/>
          <w:szCs w:val="24"/>
        </w:rPr>
        <w:t>1.询比文件获取方式：网上获取（供应商在贵州省招标投标公共服务平台或保健酒业公司官网“招采信息”栏自行下载）。</w:t>
      </w:r>
    </w:p>
    <w:p w14:paraId="0BA86836">
      <w:pPr>
        <w:wordWrap w:val="0"/>
        <w:ind w:firstLine="480"/>
        <w:jc w:val="both"/>
        <w:rPr>
          <w:rFonts w:ascii="仿宋" w:hAnsi="仿宋" w:eastAsia="仿宋" w:cs="仿宋"/>
          <w:sz w:val="24"/>
          <w:szCs w:val="24"/>
        </w:rPr>
      </w:pPr>
      <w:r>
        <w:rPr>
          <w:rFonts w:hint="eastAsia" w:ascii="仿宋" w:hAnsi="仿宋" w:eastAsia="仿宋" w:cs="仿宋"/>
          <w:sz w:val="24"/>
          <w:szCs w:val="24"/>
        </w:rPr>
        <w:t>2.询比文件获取时间：2025年8月1</w:t>
      </w:r>
      <w:r>
        <w:rPr>
          <w:rFonts w:hint="eastAsia" w:ascii="仿宋" w:hAnsi="仿宋" w:eastAsia="仿宋" w:cs="仿宋"/>
          <w:sz w:val="24"/>
          <w:szCs w:val="24"/>
          <w:lang w:val="en-US" w:eastAsia="zh-CN"/>
        </w:rPr>
        <w:t>9</w:t>
      </w:r>
      <w:bookmarkStart w:id="183" w:name="_GoBack"/>
      <w:bookmarkEnd w:id="183"/>
      <w:r>
        <w:rPr>
          <w:rFonts w:hint="eastAsia" w:ascii="仿宋" w:hAnsi="仿宋" w:eastAsia="仿宋" w:cs="仿宋"/>
          <w:sz w:val="24"/>
          <w:szCs w:val="24"/>
        </w:rPr>
        <w:t>日至2025年8月26日9:00时。供应商在贵州茅台酒厂（集团）保健酒业有限公司官网“招采信息”栏获取询比文件。</w:t>
      </w:r>
    </w:p>
    <w:p w14:paraId="56B28F0C">
      <w:pPr>
        <w:pStyle w:val="25"/>
        <w:snapToGrid w:val="0"/>
        <w:ind w:firstLine="480"/>
        <w:outlineLvl w:val="2"/>
        <w:rPr>
          <w:rFonts w:ascii="仿宋" w:hAnsi="仿宋" w:eastAsia="仿宋" w:cs="仿宋"/>
          <w:sz w:val="24"/>
          <w:szCs w:val="24"/>
        </w:rPr>
      </w:pPr>
      <w:bookmarkStart w:id="19" w:name="_Toc19389"/>
      <w:r>
        <w:rPr>
          <w:rFonts w:hint="eastAsia" w:ascii="仿宋" w:hAnsi="仿宋" w:eastAsia="仿宋" w:cs="仿宋"/>
          <w:sz w:val="24"/>
          <w:szCs w:val="24"/>
        </w:rPr>
        <w:t>3.询比文件获取方式：供应商自行下载。</w:t>
      </w:r>
      <w:bookmarkEnd w:id="19"/>
    </w:p>
    <w:p w14:paraId="1B269860">
      <w:pPr>
        <w:pStyle w:val="38"/>
        <w:adjustRightInd w:val="0"/>
        <w:snapToGrid w:val="0"/>
        <w:spacing w:before="0" w:beforeAutospacing="0" w:after="0" w:afterAutospacing="0"/>
        <w:ind w:firstLine="482"/>
        <w:outlineLvl w:val="1"/>
        <w:rPr>
          <w:rFonts w:ascii="仿宋" w:hAnsi="仿宋" w:eastAsia="仿宋" w:cs="仿宋"/>
          <w:szCs w:val="24"/>
        </w:rPr>
      </w:pPr>
      <w:bookmarkStart w:id="20" w:name="_Toc3656"/>
      <w:r>
        <w:rPr>
          <w:rFonts w:hint="eastAsia" w:ascii="仿宋" w:hAnsi="仿宋" w:eastAsia="仿宋" w:cs="仿宋"/>
          <w:b/>
          <w:bCs/>
          <w:szCs w:val="24"/>
        </w:rPr>
        <w:t>五、</w:t>
      </w:r>
      <w:bookmarkEnd w:id="18"/>
      <w:r>
        <w:rPr>
          <w:rFonts w:hint="eastAsia" w:ascii="仿宋" w:hAnsi="仿宋" w:eastAsia="仿宋" w:cs="仿宋"/>
          <w:b/>
          <w:bCs/>
          <w:szCs w:val="24"/>
        </w:rPr>
        <w:t>响应</w:t>
      </w:r>
      <w:bookmarkEnd w:id="20"/>
      <w:r>
        <w:rPr>
          <w:rFonts w:hint="eastAsia" w:ascii="仿宋" w:hAnsi="仿宋" w:eastAsia="仿宋" w:cs="仿宋"/>
          <w:b/>
          <w:bCs/>
          <w:szCs w:val="24"/>
        </w:rPr>
        <w:t>文件递交截止时间及报价文件递交地点</w:t>
      </w:r>
    </w:p>
    <w:p w14:paraId="32B06C9F">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1.响应文件递交的截止时间（响应截止时间，下同）：2025年8月26日17:00</w:t>
      </w:r>
    </w:p>
    <w:p w14:paraId="3543F01F">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 xml:space="preserve">2、响应文件递交地点：贵州省仁怀市坛厂街道贵州茅台酒厂（集团）保健酒业销售有限公司综合办公区119综合部办公室 </w:t>
      </w:r>
    </w:p>
    <w:p w14:paraId="0A5F9F5F">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3、响应文件递交方式：邮寄递交。</w:t>
      </w:r>
    </w:p>
    <w:p w14:paraId="1171A547">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注：需在响应文件递交截止时间前将响应文件邮寄至贵州茅台酒厂（集团）保健酒业销售有限公司综合办公区119办公室；收件人：安先生（18684110066）。否则报价文件将被拒收。因邮寄产生的风险及费用由供应商自行承担。</w:t>
      </w:r>
    </w:p>
    <w:p w14:paraId="4FDE5D3F">
      <w:pPr>
        <w:ind w:left="420" w:leftChars="200" w:firstLine="0" w:firstLineChars="0"/>
        <w:outlineLvl w:val="1"/>
        <w:rPr>
          <w:rFonts w:ascii="仿宋" w:hAnsi="仿宋" w:eastAsia="仿宋" w:cs="仿宋"/>
          <w:b/>
          <w:bCs/>
          <w:sz w:val="24"/>
          <w:szCs w:val="24"/>
        </w:rPr>
      </w:pPr>
      <w:bookmarkStart w:id="21" w:name="_Toc25015"/>
      <w:r>
        <w:rPr>
          <w:rFonts w:hint="eastAsia" w:ascii="仿宋" w:hAnsi="仿宋" w:eastAsia="仿宋" w:cs="仿宋"/>
          <w:b/>
          <w:bCs/>
          <w:sz w:val="24"/>
          <w:szCs w:val="24"/>
        </w:rPr>
        <w:t>六、询比时间及地点</w:t>
      </w:r>
      <w:bookmarkEnd w:id="21"/>
    </w:p>
    <w:p w14:paraId="20AC2C87">
      <w:pPr>
        <w:ind w:firstLine="480"/>
        <w:rPr>
          <w:rFonts w:ascii="仿宋" w:hAnsi="仿宋" w:eastAsia="仿宋" w:cs="仿宋"/>
          <w:sz w:val="24"/>
          <w:szCs w:val="24"/>
        </w:rPr>
      </w:pPr>
      <w:r>
        <w:rPr>
          <w:rFonts w:hint="eastAsia" w:ascii="仿宋" w:hAnsi="仿宋" w:eastAsia="仿宋" w:cs="仿宋"/>
          <w:sz w:val="24"/>
          <w:szCs w:val="24"/>
        </w:rPr>
        <w:t>1.询比时间：2025年8月27日9:30(北京时间)。</w:t>
      </w:r>
    </w:p>
    <w:p w14:paraId="08350D70">
      <w:pPr>
        <w:wordWrap w:val="0"/>
        <w:ind w:firstLine="480"/>
        <w:rPr>
          <w:rFonts w:ascii="仿宋" w:hAnsi="仿宋" w:eastAsia="仿宋" w:cs="仿宋"/>
          <w:sz w:val="24"/>
          <w:szCs w:val="24"/>
        </w:rPr>
      </w:pPr>
      <w:r>
        <w:rPr>
          <w:rFonts w:hint="eastAsia" w:ascii="仿宋" w:hAnsi="仿宋" w:eastAsia="仿宋" w:cs="仿宋"/>
          <w:sz w:val="24"/>
          <w:szCs w:val="24"/>
        </w:rPr>
        <w:t>2.询比地点：贵州茅台酒厂（集团）保健酒业有限公司综合办公区115会议室。</w:t>
      </w:r>
    </w:p>
    <w:p w14:paraId="765145B8">
      <w:pPr>
        <w:wordWrap w:val="0"/>
        <w:ind w:firstLine="482"/>
        <w:rPr>
          <w:rFonts w:ascii="仿宋" w:hAnsi="仿宋" w:eastAsia="仿宋" w:cs="仿宋"/>
          <w:b/>
          <w:bCs/>
          <w:sz w:val="24"/>
          <w:szCs w:val="24"/>
        </w:rPr>
      </w:pPr>
      <w:r>
        <w:rPr>
          <w:rFonts w:hint="eastAsia" w:ascii="仿宋" w:hAnsi="仿宋" w:eastAsia="仿宋" w:cs="仿宋"/>
          <w:b/>
          <w:bCs/>
          <w:sz w:val="24"/>
          <w:szCs w:val="24"/>
        </w:rPr>
        <w:t>七、联系方式</w:t>
      </w:r>
    </w:p>
    <w:tbl>
      <w:tblPr>
        <w:tblStyle w:val="42"/>
        <w:tblW w:w="0" w:type="auto"/>
        <w:tblInd w:w="0" w:type="dxa"/>
        <w:tblLayout w:type="fixed"/>
        <w:tblCellMar>
          <w:top w:w="0" w:type="dxa"/>
          <w:left w:w="108" w:type="dxa"/>
          <w:bottom w:w="0" w:type="dxa"/>
          <w:right w:w="108" w:type="dxa"/>
        </w:tblCellMar>
      </w:tblPr>
      <w:tblGrid>
        <w:gridCol w:w="1839"/>
        <w:gridCol w:w="6820"/>
      </w:tblGrid>
      <w:tr w14:paraId="39CE321A">
        <w:tblPrEx>
          <w:tblCellMar>
            <w:top w:w="0" w:type="dxa"/>
            <w:left w:w="108" w:type="dxa"/>
            <w:bottom w:w="0" w:type="dxa"/>
            <w:right w:w="108" w:type="dxa"/>
          </w:tblCellMar>
        </w:tblPrEx>
        <w:trPr>
          <w:trHeight w:val="527" w:hRule="atLeast"/>
        </w:trPr>
        <w:tc>
          <w:tcPr>
            <w:tcW w:w="1839" w:type="dxa"/>
            <w:vAlign w:val="center"/>
          </w:tcPr>
          <w:p w14:paraId="26ECA15A">
            <w:pPr>
              <w:pStyle w:val="25"/>
              <w:adjustRightInd w:val="0"/>
              <w:snapToGrid w:val="0"/>
              <w:ind w:firstLine="0" w:firstLineChars="0"/>
              <w:jc w:val="distribute"/>
              <w:rPr>
                <w:rFonts w:ascii="仿宋" w:hAnsi="仿宋" w:eastAsia="仿宋" w:cs="仿宋"/>
                <w:sz w:val="24"/>
                <w:szCs w:val="24"/>
              </w:rPr>
            </w:pPr>
            <w:r>
              <w:rPr>
                <w:rFonts w:hint="eastAsia" w:ascii="仿宋" w:hAnsi="仿宋" w:eastAsia="仿宋" w:cs="仿宋"/>
                <w:sz w:val="24"/>
                <w:szCs w:val="24"/>
              </w:rPr>
              <w:t>名称：</w:t>
            </w:r>
          </w:p>
        </w:tc>
        <w:tc>
          <w:tcPr>
            <w:tcW w:w="6820" w:type="dxa"/>
            <w:tcBorders>
              <w:bottom w:val="nil"/>
            </w:tcBorders>
            <w:vAlign w:val="center"/>
          </w:tcPr>
          <w:p w14:paraId="5EF6B6C3">
            <w:pPr>
              <w:pStyle w:val="25"/>
              <w:adjustRightInd w:val="0"/>
              <w:snapToGrid w:val="0"/>
              <w:ind w:firstLine="0" w:firstLineChars="0"/>
              <w:rPr>
                <w:rFonts w:ascii="仿宋" w:hAnsi="仿宋" w:eastAsia="仿宋" w:cs="仿宋"/>
                <w:sz w:val="24"/>
                <w:szCs w:val="24"/>
              </w:rPr>
            </w:pPr>
            <w:r>
              <w:rPr>
                <w:rFonts w:hint="eastAsia" w:ascii="仿宋" w:hAnsi="仿宋" w:eastAsia="仿宋" w:cs="仿宋"/>
                <w:sz w:val="24"/>
                <w:szCs w:val="24"/>
              </w:rPr>
              <w:t>贵州茅台酒厂（集团）保健酒业销售有限公司</w:t>
            </w:r>
          </w:p>
        </w:tc>
      </w:tr>
      <w:tr w14:paraId="135012DB">
        <w:tblPrEx>
          <w:tblCellMar>
            <w:top w:w="0" w:type="dxa"/>
            <w:left w:w="108" w:type="dxa"/>
            <w:bottom w:w="0" w:type="dxa"/>
            <w:right w:w="108" w:type="dxa"/>
          </w:tblCellMar>
        </w:tblPrEx>
        <w:trPr>
          <w:trHeight w:val="556" w:hRule="atLeast"/>
        </w:trPr>
        <w:tc>
          <w:tcPr>
            <w:tcW w:w="1839" w:type="dxa"/>
            <w:vAlign w:val="center"/>
          </w:tcPr>
          <w:p w14:paraId="3664F26D">
            <w:pPr>
              <w:pStyle w:val="25"/>
              <w:adjustRightInd w:val="0"/>
              <w:snapToGrid w:val="0"/>
              <w:ind w:firstLine="0" w:firstLineChars="0"/>
              <w:jc w:val="distribute"/>
              <w:rPr>
                <w:rFonts w:ascii="仿宋" w:hAnsi="仿宋" w:eastAsia="仿宋" w:cs="仿宋"/>
                <w:sz w:val="24"/>
                <w:szCs w:val="24"/>
              </w:rPr>
            </w:pPr>
            <w:r>
              <w:rPr>
                <w:rFonts w:hint="eastAsia" w:ascii="仿宋" w:hAnsi="仿宋" w:eastAsia="仿宋" w:cs="仿宋"/>
                <w:sz w:val="24"/>
                <w:szCs w:val="24"/>
              </w:rPr>
              <w:t>地址：</w:t>
            </w:r>
          </w:p>
        </w:tc>
        <w:tc>
          <w:tcPr>
            <w:tcW w:w="6820" w:type="dxa"/>
            <w:tcBorders>
              <w:top w:val="nil"/>
              <w:bottom w:val="nil"/>
            </w:tcBorders>
            <w:vAlign w:val="center"/>
          </w:tcPr>
          <w:p w14:paraId="59B5176A">
            <w:pPr>
              <w:pStyle w:val="25"/>
              <w:adjustRightInd w:val="0"/>
              <w:snapToGrid w:val="0"/>
              <w:ind w:firstLine="0" w:firstLineChars="0"/>
              <w:rPr>
                <w:rFonts w:ascii="仿宋" w:hAnsi="仿宋" w:eastAsia="仿宋" w:cs="仿宋"/>
                <w:sz w:val="24"/>
                <w:szCs w:val="24"/>
              </w:rPr>
            </w:pPr>
            <w:r>
              <w:rPr>
                <w:rFonts w:hint="eastAsia" w:ascii="仿宋" w:hAnsi="仿宋" w:eastAsia="仿宋" w:cs="仿宋"/>
                <w:sz w:val="24"/>
                <w:szCs w:val="24"/>
              </w:rPr>
              <w:t>贵州省仁怀市茅台镇</w:t>
            </w:r>
          </w:p>
        </w:tc>
      </w:tr>
      <w:tr w14:paraId="6D736C2C">
        <w:tblPrEx>
          <w:tblCellMar>
            <w:top w:w="0" w:type="dxa"/>
            <w:left w:w="108" w:type="dxa"/>
            <w:bottom w:w="0" w:type="dxa"/>
            <w:right w:w="108" w:type="dxa"/>
          </w:tblCellMar>
        </w:tblPrEx>
        <w:trPr>
          <w:trHeight w:val="439" w:hRule="atLeast"/>
        </w:trPr>
        <w:tc>
          <w:tcPr>
            <w:tcW w:w="1839" w:type="dxa"/>
            <w:vAlign w:val="center"/>
          </w:tcPr>
          <w:p w14:paraId="01F00AC4">
            <w:pPr>
              <w:pStyle w:val="25"/>
              <w:adjustRightInd w:val="0"/>
              <w:snapToGrid w:val="0"/>
              <w:ind w:firstLine="0" w:firstLineChars="0"/>
              <w:jc w:val="distribute"/>
              <w:rPr>
                <w:rFonts w:ascii="仿宋" w:hAnsi="仿宋" w:eastAsia="仿宋" w:cs="仿宋"/>
                <w:sz w:val="24"/>
                <w:szCs w:val="24"/>
              </w:rPr>
            </w:pPr>
            <w:r>
              <w:rPr>
                <w:rFonts w:hint="eastAsia" w:ascii="仿宋" w:hAnsi="仿宋" w:eastAsia="仿宋" w:cs="仿宋"/>
                <w:sz w:val="24"/>
                <w:szCs w:val="24"/>
              </w:rPr>
              <w:t>联系人：</w:t>
            </w:r>
          </w:p>
        </w:tc>
        <w:tc>
          <w:tcPr>
            <w:tcW w:w="6820" w:type="dxa"/>
            <w:tcBorders>
              <w:top w:val="nil"/>
              <w:bottom w:val="nil"/>
            </w:tcBorders>
            <w:vAlign w:val="center"/>
          </w:tcPr>
          <w:p w14:paraId="70D9C54F">
            <w:pPr>
              <w:pStyle w:val="25"/>
              <w:adjustRightInd w:val="0"/>
              <w:snapToGrid w:val="0"/>
              <w:ind w:firstLine="0" w:firstLineChars="0"/>
              <w:rPr>
                <w:rFonts w:ascii="仿宋" w:hAnsi="仿宋" w:eastAsia="仿宋" w:cs="仿宋"/>
                <w:sz w:val="24"/>
                <w:szCs w:val="24"/>
              </w:rPr>
            </w:pPr>
            <w:r>
              <w:rPr>
                <w:rFonts w:hint="eastAsia" w:ascii="仿宋" w:hAnsi="仿宋" w:eastAsia="仿宋" w:cs="仿宋"/>
                <w:sz w:val="24"/>
                <w:szCs w:val="24"/>
              </w:rPr>
              <w:t>安先生</w:t>
            </w:r>
          </w:p>
        </w:tc>
      </w:tr>
      <w:tr w14:paraId="02B7DCDF">
        <w:tblPrEx>
          <w:tblCellMar>
            <w:top w:w="0" w:type="dxa"/>
            <w:left w:w="108" w:type="dxa"/>
            <w:bottom w:w="0" w:type="dxa"/>
            <w:right w:w="108" w:type="dxa"/>
          </w:tblCellMar>
        </w:tblPrEx>
        <w:trPr>
          <w:trHeight w:val="390" w:hRule="atLeast"/>
        </w:trPr>
        <w:tc>
          <w:tcPr>
            <w:tcW w:w="1839" w:type="dxa"/>
            <w:vAlign w:val="center"/>
          </w:tcPr>
          <w:p w14:paraId="0009CA4D">
            <w:pPr>
              <w:pStyle w:val="25"/>
              <w:adjustRightInd w:val="0"/>
              <w:snapToGrid w:val="0"/>
              <w:ind w:firstLine="0" w:firstLineChars="0"/>
              <w:jc w:val="distribute"/>
              <w:rPr>
                <w:rFonts w:ascii="仿宋" w:hAnsi="仿宋" w:eastAsia="仿宋" w:cs="仿宋"/>
                <w:sz w:val="24"/>
                <w:szCs w:val="24"/>
              </w:rPr>
            </w:pPr>
            <w:r>
              <w:rPr>
                <w:rFonts w:hint="eastAsia" w:ascii="仿宋" w:hAnsi="仿宋" w:eastAsia="仿宋" w:cs="仿宋"/>
                <w:sz w:val="24"/>
                <w:szCs w:val="24"/>
              </w:rPr>
              <w:t>联系电话：</w:t>
            </w:r>
          </w:p>
        </w:tc>
        <w:tc>
          <w:tcPr>
            <w:tcW w:w="6820" w:type="dxa"/>
            <w:tcBorders>
              <w:top w:val="nil"/>
              <w:bottom w:val="nil"/>
            </w:tcBorders>
            <w:vAlign w:val="center"/>
          </w:tcPr>
          <w:p w14:paraId="12A29842">
            <w:pPr>
              <w:pStyle w:val="25"/>
              <w:adjustRightInd w:val="0"/>
              <w:snapToGrid w:val="0"/>
              <w:ind w:firstLine="0" w:firstLineChars="0"/>
              <w:rPr>
                <w:rFonts w:ascii="仿宋" w:hAnsi="仿宋" w:eastAsia="仿宋" w:cs="仿宋"/>
                <w:sz w:val="24"/>
                <w:szCs w:val="24"/>
              </w:rPr>
            </w:pPr>
            <w:r>
              <w:rPr>
                <w:rFonts w:hint="eastAsia" w:ascii="仿宋" w:hAnsi="仿宋" w:eastAsia="仿宋" w:cs="仿宋"/>
                <w:sz w:val="24"/>
                <w:szCs w:val="24"/>
              </w:rPr>
              <w:t>18684110066</w:t>
            </w:r>
          </w:p>
        </w:tc>
      </w:tr>
    </w:tbl>
    <w:p w14:paraId="62A0FD51">
      <w:pPr>
        <w:pStyle w:val="25"/>
        <w:wordWrap w:val="0"/>
        <w:ind w:firstLine="0" w:firstLineChars="0"/>
        <w:jc w:val="center"/>
        <w:outlineLvl w:val="0"/>
        <w:rPr>
          <w:rFonts w:ascii="仿宋_GB2312" w:hAnsi="仿宋_GB2312" w:eastAsia="仿宋_GB2312" w:cs="仿宋_GB2312"/>
        </w:rPr>
      </w:pPr>
      <w:r>
        <w:rPr>
          <w:rFonts w:hint="eastAsia" w:ascii="仿宋" w:hAnsi="仿宋" w:eastAsia="仿宋" w:cs="仿宋"/>
          <w:b/>
          <w:bCs/>
          <w:sz w:val="24"/>
          <w:szCs w:val="24"/>
        </w:rPr>
        <w:br w:type="page"/>
      </w:r>
      <w:bookmarkStart w:id="22" w:name="_Toc1335"/>
      <w:bookmarkStart w:id="23" w:name="_Toc25643"/>
      <w:bookmarkStart w:id="24" w:name="_Toc13838"/>
      <w:bookmarkStart w:id="25" w:name="_Toc4997"/>
      <w:bookmarkStart w:id="26" w:name="_Toc28214"/>
      <w:bookmarkStart w:id="27" w:name="_Toc3124"/>
      <w:bookmarkStart w:id="28" w:name="_Toc10919"/>
      <w:bookmarkStart w:id="29" w:name="_Toc25710"/>
      <w:r>
        <w:rPr>
          <w:rFonts w:hint="eastAsia" w:ascii="仿宋_GB2312" w:hAnsi="仿宋_GB2312" w:eastAsia="仿宋_GB2312" w:cs="仿宋_GB2312"/>
          <w:b/>
          <w:bCs/>
          <w:sz w:val="32"/>
          <w:szCs w:val="20"/>
        </w:rPr>
        <w:t>第二部分询比供应商须知</w:t>
      </w:r>
      <w:bookmarkEnd w:id="22"/>
      <w:bookmarkEnd w:id="23"/>
      <w:bookmarkEnd w:id="24"/>
      <w:bookmarkEnd w:id="25"/>
      <w:bookmarkEnd w:id="26"/>
      <w:bookmarkEnd w:id="27"/>
      <w:bookmarkEnd w:id="28"/>
      <w:bookmarkEnd w:id="29"/>
    </w:p>
    <w:p w14:paraId="5522FDD0">
      <w:pPr>
        <w:ind w:firstLine="0" w:firstLineChars="0"/>
        <w:jc w:val="center"/>
        <w:outlineLvl w:val="1"/>
        <w:rPr>
          <w:rFonts w:ascii="仿宋" w:hAnsi="仿宋" w:eastAsia="仿宋" w:cs="仿宋"/>
          <w:b/>
          <w:bCs/>
          <w:sz w:val="24"/>
          <w:szCs w:val="24"/>
        </w:rPr>
      </w:pPr>
      <w:bookmarkStart w:id="30" w:name="_Toc24980"/>
      <w:bookmarkStart w:id="31" w:name="_Toc5705"/>
      <w:bookmarkStart w:id="32" w:name="_Toc4395"/>
      <w:bookmarkStart w:id="33" w:name="_Toc935"/>
      <w:bookmarkStart w:id="34" w:name="_Toc22683"/>
      <w:bookmarkStart w:id="35" w:name="_Toc22753"/>
      <w:bookmarkStart w:id="36" w:name="_Toc21841"/>
      <w:r>
        <w:rPr>
          <w:rFonts w:hint="eastAsia" w:ascii="仿宋" w:hAnsi="仿宋" w:eastAsia="仿宋" w:cs="仿宋"/>
          <w:b/>
          <w:bCs/>
          <w:sz w:val="24"/>
          <w:szCs w:val="24"/>
        </w:rPr>
        <w:t>询比供应商须知前附表</w:t>
      </w:r>
      <w:bookmarkEnd w:id="30"/>
      <w:bookmarkEnd w:id="31"/>
      <w:bookmarkEnd w:id="32"/>
      <w:bookmarkEnd w:id="33"/>
      <w:bookmarkEnd w:id="34"/>
      <w:bookmarkEnd w:id="35"/>
      <w:bookmarkEnd w:id="36"/>
    </w:p>
    <w:tbl>
      <w:tblPr>
        <w:tblStyle w:val="42"/>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035"/>
        <w:gridCol w:w="7227"/>
      </w:tblGrid>
      <w:tr w14:paraId="2D99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7" w:type="dxa"/>
            <w:vAlign w:val="center"/>
          </w:tcPr>
          <w:p w14:paraId="3A6FF6B8">
            <w:pPr>
              <w:ind w:firstLine="0" w:firstLineChars="0"/>
              <w:jc w:val="center"/>
              <w:rPr>
                <w:rFonts w:ascii="仿宋" w:hAnsi="仿宋" w:eastAsia="仿宋" w:cs="仿宋"/>
                <w:b/>
                <w:sz w:val="24"/>
                <w:szCs w:val="24"/>
              </w:rPr>
            </w:pPr>
            <w:r>
              <w:rPr>
                <w:rFonts w:hint="eastAsia" w:ascii="仿宋" w:hAnsi="仿宋" w:eastAsia="仿宋" w:cs="仿宋"/>
                <w:b/>
                <w:sz w:val="24"/>
                <w:szCs w:val="24"/>
              </w:rPr>
              <w:t>序号</w:t>
            </w:r>
          </w:p>
        </w:tc>
        <w:tc>
          <w:tcPr>
            <w:tcW w:w="2035" w:type="dxa"/>
            <w:vAlign w:val="center"/>
          </w:tcPr>
          <w:p w14:paraId="7458C8BB">
            <w:pPr>
              <w:ind w:firstLine="0" w:firstLineChars="0"/>
              <w:jc w:val="center"/>
              <w:rPr>
                <w:rFonts w:ascii="仿宋" w:hAnsi="仿宋" w:eastAsia="仿宋" w:cs="仿宋"/>
                <w:b/>
                <w:sz w:val="24"/>
                <w:szCs w:val="24"/>
              </w:rPr>
            </w:pPr>
            <w:r>
              <w:rPr>
                <w:rFonts w:hint="eastAsia" w:ascii="仿宋" w:hAnsi="仿宋" w:eastAsia="仿宋" w:cs="仿宋"/>
                <w:b/>
                <w:sz w:val="24"/>
                <w:szCs w:val="24"/>
              </w:rPr>
              <w:t>条款名称</w:t>
            </w:r>
          </w:p>
        </w:tc>
        <w:tc>
          <w:tcPr>
            <w:tcW w:w="7227" w:type="dxa"/>
            <w:vAlign w:val="center"/>
          </w:tcPr>
          <w:p w14:paraId="0D19B09D">
            <w:pPr>
              <w:ind w:firstLine="0" w:firstLineChars="0"/>
              <w:jc w:val="center"/>
              <w:rPr>
                <w:rFonts w:ascii="仿宋" w:hAnsi="仿宋" w:eastAsia="仿宋" w:cs="仿宋"/>
                <w:b/>
                <w:sz w:val="24"/>
                <w:szCs w:val="24"/>
              </w:rPr>
            </w:pPr>
            <w:r>
              <w:rPr>
                <w:rFonts w:hint="eastAsia" w:ascii="仿宋" w:hAnsi="仿宋" w:eastAsia="仿宋" w:cs="仿宋"/>
                <w:b/>
                <w:sz w:val="24"/>
                <w:szCs w:val="24"/>
              </w:rPr>
              <w:t>编列内容</w:t>
            </w:r>
          </w:p>
        </w:tc>
      </w:tr>
      <w:tr w14:paraId="6DFC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dxa"/>
            <w:vAlign w:val="center"/>
          </w:tcPr>
          <w:p w14:paraId="66BEC3BF">
            <w:pPr>
              <w:ind w:firstLine="0" w:firstLineChars="0"/>
              <w:jc w:val="center"/>
              <w:rPr>
                <w:rFonts w:ascii="仿宋" w:hAnsi="仿宋" w:eastAsia="仿宋" w:cs="仿宋"/>
                <w:sz w:val="24"/>
                <w:szCs w:val="24"/>
              </w:rPr>
            </w:pPr>
            <w:r>
              <w:rPr>
                <w:rFonts w:hint="eastAsia" w:ascii="仿宋" w:hAnsi="仿宋" w:eastAsia="仿宋" w:cs="仿宋"/>
                <w:sz w:val="24"/>
                <w:szCs w:val="24"/>
              </w:rPr>
              <w:t>1</w:t>
            </w:r>
          </w:p>
        </w:tc>
        <w:tc>
          <w:tcPr>
            <w:tcW w:w="2035" w:type="dxa"/>
            <w:vAlign w:val="center"/>
          </w:tcPr>
          <w:p w14:paraId="3F6850FA">
            <w:pPr>
              <w:ind w:firstLine="0" w:firstLineChars="0"/>
              <w:jc w:val="center"/>
              <w:rPr>
                <w:rFonts w:ascii="仿宋" w:hAnsi="仿宋" w:eastAsia="仿宋" w:cs="仿宋"/>
                <w:sz w:val="24"/>
                <w:szCs w:val="24"/>
              </w:rPr>
            </w:pPr>
            <w:r>
              <w:rPr>
                <w:rFonts w:hint="eastAsia" w:ascii="仿宋" w:hAnsi="仿宋" w:eastAsia="仿宋" w:cs="仿宋"/>
                <w:sz w:val="24"/>
                <w:szCs w:val="24"/>
              </w:rPr>
              <w:t>项目名称</w:t>
            </w:r>
          </w:p>
        </w:tc>
        <w:tc>
          <w:tcPr>
            <w:tcW w:w="7227" w:type="dxa"/>
            <w:vAlign w:val="center"/>
          </w:tcPr>
          <w:p w14:paraId="1FF75174">
            <w:pPr>
              <w:pStyle w:val="25"/>
              <w:adjustRightInd w:val="0"/>
              <w:snapToGrid w:val="0"/>
              <w:ind w:firstLine="0" w:firstLineChars="0"/>
              <w:rPr>
                <w:rFonts w:ascii="仿宋" w:hAnsi="仿宋" w:eastAsia="仿宋" w:cs="仿宋"/>
                <w:sz w:val="24"/>
                <w:szCs w:val="24"/>
              </w:rPr>
            </w:pPr>
            <w:r>
              <w:rPr>
                <w:rFonts w:hint="eastAsia" w:ascii="仿宋" w:hAnsi="仿宋" w:eastAsia="仿宋" w:cs="仿宋"/>
                <w:bCs/>
                <w:sz w:val="24"/>
                <w:szCs w:val="24"/>
              </w:rPr>
              <w:t>i茅台台源6-12月活动奖品采购项目（手机、扫地机等消费电子产品采购）B包</w:t>
            </w:r>
          </w:p>
        </w:tc>
      </w:tr>
      <w:tr w14:paraId="2FB0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7" w:type="dxa"/>
            <w:vAlign w:val="center"/>
          </w:tcPr>
          <w:p w14:paraId="0AAD3EC4">
            <w:pPr>
              <w:ind w:firstLine="0" w:firstLineChars="0"/>
              <w:jc w:val="center"/>
              <w:rPr>
                <w:rFonts w:ascii="仿宋" w:hAnsi="仿宋" w:eastAsia="仿宋" w:cs="仿宋"/>
                <w:sz w:val="24"/>
                <w:szCs w:val="24"/>
              </w:rPr>
            </w:pPr>
            <w:r>
              <w:rPr>
                <w:rFonts w:hint="eastAsia" w:ascii="仿宋" w:hAnsi="仿宋" w:eastAsia="仿宋" w:cs="仿宋"/>
                <w:sz w:val="24"/>
                <w:szCs w:val="24"/>
              </w:rPr>
              <w:t>2</w:t>
            </w:r>
          </w:p>
        </w:tc>
        <w:tc>
          <w:tcPr>
            <w:tcW w:w="2035" w:type="dxa"/>
            <w:vAlign w:val="center"/>
          </w:tcPr>
          <w:p w14:paraId="334D8DE4">
            <w:pPr>
              <w:ind w:firstLine="0" w:firstLineChars="0"/>
              <w:jc w:val="center"/>
              <w:rPr>
                <w:rFonts w:ascii="仿宋" w:hAnsi="仿宋" w:eastAsia="仿宋" w:cs="仿宋"/>
                <w:sz w:val="24"/>
                <w:szCs w:val="24"/>
              </w:rPr>
            </w:pPr>
            <w:r>
              <w:rPr>
                <w:rFonts w:hint="eastAsia" w:ascii="仿宋" w:hAnsi="仿宋" w:eastAsia="仿宋" w:cs="仿宋"/>
                <w:sz w:val="24"/>
                <w:szCs w:val="24"/>
              </w:rPr>
              <w:t>采购方式</w:t>
            </w:r>
          </w:p>
        </w:tc>
        <w:tc>
          <w:tcPr>
            <w:tcW w:w="7227" w:type="dxa"/>
            <w:vAlign w:val="center"/>
          </w:tcPr>
          <w:p w14:paraId="41492F82">
            <w:pPr>
              <w:ind w:firstLine="480"/>
              <w:rPr>
                <w:rFonts w:ascii="仿宋" w:hAnsi="仿宋" w:eastAsia="仿宋" w:cs="仿宋"/>
                <w:sz w:val="24"/>
                <w:szCs w:val="24"/>
              </w:rPr>
            </w:pPr>
            <w:r>
              <w:rPr>
                <w:rFonts w:hint="eastAsia" w:ascii="仿宋" w:hAnsi="仿宋" w:eastAsia="仿宋" w:cs="仿宋"/>
                <w:sz w:val="24"/>
                <w:szCs w:val="24"/>
              </w:rPr>
              <w:t>询比采购</w:t>
            </w:r>
          </w:p>
        </w:tc>
      </w:tr>
      <w:tr w14:paraId="7200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1A7609CE">
            <w:pPr>
              <w:ind w:firstLine="0" w:firstLineChars="0"/>
              <w:jc w:val="center"/>
              <w:rPr>
                <w:rFonts w:ascii="仿宋" w:hAnsi="仿宋" w:eastAsia="仿宋" w:cs="仿宋"/>
                <w:sz w:val="24"/>
                <w:szCs w:val="24"/>
              </w:rPr>
            </w:pPr>
            <w:r>
              <w:rPr>
                <w:rFonts w:hint="eastAsia" w:ascii="仿宋" w:hAnsi="仿宋" w:eastAsia="仿宋" w:cs="仿宋"/>
                <w:sz w:val="24"/>
                <w:szCs w:val="24"/>
              </w:rPr>
              <w:t>3</w:t>
            </w:r>
          </w:p>
        </w:tc>
        <w:tc>
          <w:tcPr>
            <w:tcW w:w="2035" w:type="dxa"/>
            <w:vAlign w:val="center"/>
          </w:tcPr>
          <w:p w14:paraId="3D62D19E">
            <w:pPr>
              <w:ind w:firstLine="0" w:firstLineChars="0"/>
              <w:jc w:val="center"/>
              <w:rPr>
                <w:rFonts w:ascii="仿宋" w:hAnsi="仿宋" w:eastAsia="仿宋" w:cs="仿宋"/>
                <w:sz w:val="24"/>
                <w:szCs w:val="24"/>
              </w:rPr>
            </w:pPr>
            <w:r>
              <w:rPr>
                <w:rFonts w:hint="eastAsia" w:ascii="仿宋" w:hAnsi="仿宋" w:eastAsia="仿宋" w:cs="仿宋"/>
                <w:sz w:val="24"/>
                <w:szCs w:val="24"/>
              </w:rPr>
              <w:t>采购人</w:t>
            </w:r>
          </w:p>
        </w:tc>
        <w:tc>
          <w:tcPr>
            <w:tcW w:w="7227" w:type="dxa"/>
            <w:vAlign w:val="center"/>
          </w:tcPr>
          <w:p w14:paraId="13107391">
            <w:pPr>
              <w:pStyle w:val="25"/>
              <w:ind w:firstLine="480"/>
              <w:jc w:val="left"/>
              <w:rPr>
                <w:rFonts w:ascii="仿宋" w:hAnsi="仿宋" w:eastAsia="仿宋" w:cs="仿宋"/>
                <w:sz w:val="24"/>
                <w:szCs w:val="24"/>
              </w:rPr>
            </w:pPr>
            <w:r>
              <w:rPr>
                <w:rFonts w:hint="eastAsia" w:ascii="仿宋" w:hAnsi="仿宋" w:eastAsia="仿宋" w:cs="仿宋"/>
                <w:sz w:val="24"/>
                <w:szCs w:val="24"/>
              </w:rPr>
              <w:t>名称：贵州茅台酒厂（集团）保健酒业销售有限公司</w:t>
            </w:r>
          </w:p>
          <w:p w14:paraId="792E3AFE">
            <w:pPr>
              <w:pStyle w:val="25"/>
              <w:ind w:firstLine="480"/>
              <w:jc w:val="left"/>
              <w:rPr>
                <w:rFonts w:ascii="仿宋" w:hAnsi="仿宋" w:eastAsia="仿宋" w:cs="仿宋"/>
                <w:sz w:val="24"/>
                <w:szCs w:val="24"/>
              </w:rPr>
            </w:pPr>
            <w:r>
              <w:rPr>
                <w:rFonts w:hint="eastAsia" w:ascii="仿宋" w:hAnsi="仿宋" w:eastAsia="仿宋" w:cs="仿宋"/>
                <w:sz w:val="24"/>
                <w:szCs w:val="24"/>
              </w:rPr>
              <w:t>地址：贵州省仁怀市茅台镇</w:t>
            </w:r>
          </w:p>
          <w:p w14:paraId="7D9A20C0">
            <w:pPr>
              <w:pStyle w:val="25"/>
              <w:ind w:firstLine="480"/>
              <w:jc w:val="left"/>
              <w:rPr>
                <w:rFonts w:ascii="仿宋" w:hAnsi="仿宋" w:eastAsia="仿宋" w:cs="仿宋"/>
                <w:sz w:val="24"/>
                <w:szCs w:val="24"/>
              </w:rPr>
            </w:pPr>
            <w:r>
              <w:rPr>
                <w:rFonts w:hint="eastAsia" w:ascii="仿宋" w:hAnsi="仿宋" w:eastAsia="仿宋" w:cs="仿宋"/>
                <w:sz w:val="24"/>
                <w:szCs w:val="24"/>
              </w:rPr>
              <w:t>联系人：安先生</w:t>
            </w:r>
          </w:p>
          <w:p w14:paraId="1CE756F8">
            <w:pPr>
              <w:pStyle w:val="25"/>
              <w:ind w:firstLine="480"/>
              <w:jc w:val="left"/>
              <w:rPr>
                <w:rFonts w:ascii="仿宋" w:hAnsi="仿宋" w:eastAsia="仿宋" w:cs="仿宋"/>
                <w:sz w:val="24"/>
                <w:szCs w:val="24"/>
              </w:rPr>
            </w:pPr>
            <w:r>
              <w:rPr>
                <w:rFonts w:hint="eastAsia" w:ascii="仿宋" w:hAnsi="仿宋" w:eastAsia="仿宋" w:cs="仿宋"/>
                <w:sz w:val="24"/>
                <w:szCs w:val="24"/>
              </w:rPr>
              <w:t>联系电话：18684110066</w:t>
            </w:r>
          </w:p>
        </w:tc>
      </w:tr>
      <w:tr w14:paraId="2195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14:paraId="0BD4E332">
            <w:pPr>
              <w:ind w:firstLine="0" w:firstLineChars="0"/>
              <w:jc w:val="center"/>
              <w:rPr>
                <w:rFonts w:ascii="仿宋" w:hAnsi="仿宋" w:eastAsia="仿宋" w:cs="仿宋"/>
                <w:sz w:val="24"/>
                <w:szCs w:val="24"/>
              </w:rPr>
            </w:pPr>
            <w:r>
              <w:rPr>
                <w:rFonts w:hint="eastAsia" w:ascii="仿宋" w:hAnsi="仿宋" w:eastAsia="仿宋" w:cs="仿宋"/>
                <w:sz w:val="24"/>
                <w:szCs w:val="24"/>
              </w:rPr>
              <w:t>4</w:t>
            </w:r>
          </w:p>
        </w:tc>
        <w:tc>
          <w:tcPr>
            <w:tcW w:w="2035" w:type="dxa"/>
            <w:vAlign w:val="center"/>
          </w:tcPr>
          <w:p w14:paraId="011C9ADB">
            <w:pPr>
              <w:ind w:firstLine="0" w:firstLineChars="0"/>
              <w:jc w:val="center"/>
              <w:rPr>
                <w:rFonts w:ascii="仿宋" w:hAnsi="仿宋" w:eastAsia="仿宋" w:cs="仿宋"/>
                <w:kern w:val="0"/>
                <w:sz w:val="24"/>
                <w:szCs w:val="24"/>
              </w:rPr>
            </w:pPr>
            <w:r>
              <w:rPr>
                <w:rFonts w:hint="eastAsia" w:ascii="仿宋" w:hAnsi="仿宋" w:eastAsia="仿宋" w:cs="仿宋"/>
                <w:sz w:val="24"/>
                <w:szCs w:val="24"/>
              </w:rPr>
              <w:t>资金来源</w:t>
            </w:r>
          </w:p>
        </w:tc>
        <w:tc>
          <w:tcPr>
            <w:tcW w:w="7227" w:type="dxa"/>
            <w:vAlign w:val="center"/>
          </w:tcPr>
          <w:p w14:paraId="416D850C">
            <w:pPr>
              <w:ind w:firstLine="480"/>
              <w:rPr>
                <w:rFonts w:ascii="仿宋" w:hAnsi="仿宋" w:eastAsia="仿宋" w:cs="仿宋"/>
                <w:sz w:val="24"/>
                <w:szCs w:val="24"/>
              </w:rPr>
            </w:pPr>
            <w:r>
              <w:rPr>
                <w:rFonts w:hint="eastAsia" w:ascii="仿宋" w:hAnsi="仿宋" w:eastAsia="仿宋" w:cs="仿宋"/>
                <w:sz w:val="24"/>
                <w:szCs w:val="24"/>
              </w:rPr>
              <w:t>自筹资金。</w:t>
            </w:r>
          </w:p>
        </w:tc>
      </w:tr>
      <w:tr w14:paraId="5F8A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14:paraId="0FCF0CF6">
            <w:pPr>
              <w:ind w:firstLine="0" w:firstLineChars="0"/>
              <w:jc w:val="center"/>
              <w:rPr>
                <w:rFonts w:ascii="仿宋" w:hAnsi="仿宋" w:eastAsia="仿宋" w:cs="仿宋"/>
                <w:sz w:val="24"/>
                <w:szCs w:val="24"/>
              </w:rPr>
            </w:pPr>
            <w:r>
              <w:rPr>
                <w:rFonts w:hint="eastAsia" w:ascii="仿宋" w:hAnsi="仿宋" w:eastAsia="仿宋" w:cs="仿宋"/>
                <w:sz w:val="24"/>
                <w:szCs w:val="24"/>
              </w:rPr>
              <w:t>5</w:t>
            </w:r>
          </w:p>
        </w:tc>
        <w:tc>
          <w:tcPr>
            <w:tcW w:w="2035" w:type="dxa"/>
            <w:vAlign w:val="center"/>
          </w:tcPr>
          <w:p w14:paraId="1530F8E9">
            <w:pPr>
              <w:snapToGrid w:val="0"/>
              <w:ind w:firstLine="0" w:firstLineChars="0"/>
              <w:jc w:val="center"/>
              <w:rPr>
                <w:rFonts w:ascii="仿宋" w:hAnsi="仿宋" w:eastAsia="仿宋" w:cs="仿宋"/>
                <w:sz w:val="24"/>
                <w:szCs w:val="24"/>
              </w:rPr>
            </w:pPr>
            <w:r>
              <w:rPr>
                <w:rFonts w:hint="eastAsia" w:ascii="仿宋" w:hAnsi="仿宋" w:eastAsia="仿宋" w:cs="仿宋"/>
                <w:sz w:val="24"/>
                <w:szCs w:val="24"/>
              </w:rPr>
              <w:t>交货期</w:t>
            </w:r>
          </w:p>
        </w:tc>
        <w:tc>
          <w:tcPr>
            <w:tcW w:w="7227" w:type="dxa"/>
            <w:vAlign w:val="center"/>
          </w:tcPr>
          <w:p w14:paraId="12C9B752">
            <w:pPr>
              <w:widowControl/>
              <w:snapToGrid w:val="0"/>
              <w:ind w:firstLine="480"/>
              <w:rPr>
                <w:rFonts w:ascii="仿宋" w:hAnsi="仿宋" w:eastAsia="仿宋" w:cs="仿宋"/>
                <w:sz w:val="24"/>
                <w:szCs w:val="24"/>
              </w:rPr>
            </w:pPr>
            <w:r>
              <w:rPr>
                <w:rFonts w:hint="eastAsia" w:ascii="仿宋" w:hAnsi="仿宋" w:eastAsia="仿宋" w:cs="仿宋"/>
                <w:kern w:val="0"/>
                <w:sz w:val="24"/>
                <w:szCs w:val="24"/>
              </w:rPr>
              <w:t>接采购人通知之日起10日历天内完成供货。</w:t>
            </w:r>
          </w:p>
        </w:tc>
      </w:tr>
      <w:tr w14:paraId="124E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2310C76">
            <w:pPr>
              <w:ind w:firstLine="0" w:firstLineChars="0"/>
              <w:jc w:val="center"/>
              <w:rPr>
                <w:rFonts w:ascii="仿宋" w:hAnsi="仿宋" w:eastAsia="仿宋" w:cs="仿宋"/>
                <w:sz w:val="24"/>
                <w:szCs w:val="24"/>
              </w:rPr>
            </w:pPr>
            <w:r>
              <w:rPr>
                <w:rFonts w:hint="eastAsia" w:ascii="仿宋" w:hAnsi="仿宋" w:eastAsia="仿宋" w:cs="仿宋"/>
                <w:sz w:val="24"/>
                <w:szCs w:val="24"/>
              </w:rPr>
              <w:t>6</w:t>
            </w:r>
          </w:p>
        </w:tc>
        <w:tc>
          <w:tcPr>
            <w:tcW w:w="2035" w:type="dxa"/>
            <w:vAlign w:val="center"/>
          </w:tcPr>
          <w:p w14:paraId="0EB80574">
            <w:pPr>
              <w:widowControl/>
              <w:ind w:firstLine="0" w:firstLineChars="0"/>
              <w:jc w:val="center"/>
              <w:rPr>
                <w:rFonts w:ascii="仿宋" w:hAnsi="仿宋" w:eastAsia="仿宋" w:cs="仿宋"/>
                <w:kern w:val="0"/>
                <w:sz w:val="24"/>
                <w:szCs w:val="24"/>
                <w:lang w:bidi="ar"/>
              </w:rPr>
            </w:pPr>
            <w:r>
              <w:rPr>
                <w:rFonts w:hint="eastAsia" w:ascii="仿宋" w:hAnsi="仿宋" w:eastAsia="仿宋" w:cs="仿宋"/>
                <w:sz w:val="24"/>
                <w:szCs w:val="24"/>
              </w:rPr>
              <w:t>交货地点</w:t>
            </w:r>
          </w:p>
        </w:tc>
        <w:tc>
          <w:tcPr>
            <w:tcW w:w="7227" w:type="dxa"/>
            <w:vAlign w:val="center"/>
          </w:tcPr>
          <w:p w14:paraId="44B5ECE9">
            <w:pPr>
              <w:widowControl/>
              <w:ind w:firstLine="480"/>
              <w:rPr>
                <w:rFonts w:ascii="仿宋" w:hAnsi="仿宋" w:eastAsia="仿宋" w:cs="仿宋"/>
                <w:kern w:val="0"/>
                <w:sz w:val="24"/>
                <w:szCs w:val="24"/>
                <w:lang w:bidi="ar"/>
              </w:rPr>
            </w:pPr>
            <w:r>
              <w:rPr>
                <w:rFonts w:hint="eastAsia" w:ascii="仿宋" w:hAnsi="仿宋" w:eastAsia="仿宋" w:cs="仿宋"/>
                <w:kern w:val="0"/>
                <w:sz w:val="24"/>
                <w:szCs w:val="24"/>
              </w:rPr>
              <w:t>贵州省遵义市</w:t>
            </w:r>
          </w:p>
        </w:tc>
      </w:tr>
      <w:tr w14:paraId="2E10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68E603BE">
            <w:pPr>
              <w:ind w:firstLine="0" w:firstLineChars="0"/>
              <w:jc w:val="center"/>
              <w:rPr>
                <w:rFonts w:ascii="仿宋" w:hAnsi="仿宋" w:eastAsia="仿宋" w:cs="仿宋"/>
                <w:sz w:val="24"/>
                <w:szCs w:val="24"/>
              </w:rPr>
            </w:pPr>
            <w:r>
              <w:rPr>
                <w:rFonts w:hint="eastAsia" w:ascii="仿宋" w:hAnsi="仿宋" w:eastAsia="仿宋" w:cs="仿宋"/>
                <w:sz w:val="24"/>
                <w:szCs w:val="24"/>
              </w:rPr>
              <w:t>7</w:t>
            </w:r>
          </w:p>
        </w:tc>
        <w:tc>
          <w:tcPr>
            <w:tcW w:w="2035" w:type="dxa"/>
            <w:vAlign w:val="center"/>
          </w:tcPr>
          <w:p w14:paraId="5B2A7DB8">
            <w:pPr>
              <w:widowControl/>
              <w:ind w:firstLine="0" w:firstLineChars="0"/>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质量标准</w:t>
            </w:r>
          </w:p>
        </w:tc>
        <w:tc>
          <w:tcPr>
            <w:tcW w:w="7227" w:type="dxa"/>
            <w:vAlign w:val="center"/>
          </w:tcPr>
          <w:p w14:paraId="0825D2B0">
            <w:pPr>
              <w:widowControl/>
              <w:ind w:firstLine="480"/>
              <w:rPr>
                <w:rFonts w:ascii="仿宋" w:hAnsi="仿宋" w:eastAsia="仿宋" w:cs="仿宋"/>
                <w:kern w:val="0"/>
                <w:sz w:val="24"/>
                <w:szCs w:val="24"/>
                <w:lang w:bidi="ar"/>
              </w:rPr>
            </w:pPr>
            <w:r>
              <w:rPr>
                <w:rFonts w:hint="eastAsia" w:ascii="仿宋" w:hAnsi="仿宋" w:eastAsia="仿宋" w:cs="仿宋"/>
                <w:kern w:val="0"/>
                <w:sz w:val="24"/>
                <w:szCs w:val="24"/>
              </w:rPr>
              <w:t>符合国家、行业、采购人现行有关质量规范标准及采购文件相关参数要求。</w:t>
            </w:r>
          </w:p>
        </w:tc>
      </w:tr>
      <w:tr w14:paraId="60AD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7" w:type="dxa"/>
            <w:vAlign w:val="center"/>
          </w:tcPr>
          <w:p w14:paraId="560E7094">
            <w:pPr>
              <w:ind w:firstLine="0" w:firstLineChars="0"/>
              <w:jc w:val="center"/>
              <w:rPr>
                <w:rFonts w:ascii="仿宋" w:hAnsi="仿宋" w:eastAsia="仿宋" w:cs="仿宋"/>
                <w:sz w:val="24"/>
                <w:szCs w:val="24"/>
              </w:rPr>
            </w:pPr>
            <w:r>
              <w:rPr>
                <w:rFonts w:hint="eastAsia" w:ascii="仿宋" w:hAnsi="仿宋" w:eastAsia="仿宋" w:cs="仿宋"/>
                <w:sz w:val="24"/>
                <w:szCs w:val="24"/>
              </w:rPr>
              <w:t>8</w:t>
            </w:r>
          </w:p>
        </w:tc>
        <w:tc>
          <w:tcPr>
            <w:tcW w:w="2035" w:type="dxa"/>
            <w:vAlign w:val="center"/>
          </w:tcPr>
          <w:p w14:paraId="0301BB81">
            <w:pPr>
              <w:ind w:firstLine="0" w:firstLineChars="0"/>
              <w:jc w:val="center"/>
              <w:rPr>
                <w:rFonts w:ascii="仿宋" w:hAnsi="仿宋" w:eastAsia="仿宋" w:cs="仿宋"/>
                <w:sz w:val="24"/>
                <w:szCs w:val="24"/>
              </w:rPr>
            </w:pPr>
            <w:r>
              <w:rPr>
                <w:rFonts w:hint="eastAsia" w:ascii="仿宋" w:hAnsi="仿宋" w:eastAsia="仿宋" w:cs="仿宋"/>
                <w:sz w:val="24"/>
                <w:szCs w:val="24"/>
              </w:rPr>
              <w:t>资格要求</w:t>
            </w:r>
          </w:p>
        </w:tc>
        <w:tc>
          <w:tcPr>
            <w:tcW w:w="7227" w:type="dxa"/>
            <w:vAlign w:val="center"/>
          </w:tcPr>
          <w:p w14:paraId="74830041">
            <w:pPr>
              <w:spacing w:line="400" w:lineRule="exact"/>
              <w:ind w:firstLine="480"/>
            </w:pPr>
            <w:r>
              <w:rPr>
                <w:rFonts w:hint="eastAsia" w:ascii="仿宋" w:hAnsi="仿宋" w:eastAsia="仿宋" w:cs="仿宋"/>
                <w:kern w:val="0"/>
                <w:sz w:val="24"/>
                <w:szCs w:val="24"/>
              </w:rPr>
              <w:t>详见询比公告  供应商资格要求</w:t>
            </w:r>
          </w:p>
        </w:tc>
      </w:tr>
      <w:tr w14:paraId="7506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00E84B2E">
            <w:pPr>
              <w:ind w:firstLine="0" w:firstLineChars="0"/>
              <w:jc w:val="center"/>
              <w:rPr>
                <w:rFonts w:ascii="仿宋" w:hAnsi="仿宋" w:eastAsia="仿宋" w:cs="仿宋"/>
                <w:sz w:val="24"/>
                <w:szCs w:val="24"/>
              </w:rPr>
            </w:pPr>
            <w:r>
              <w:rPr>
                <w:rFonts w:hint="eastAsia" w:ascii="仿宋" w:hAnsi="仿宋" w:eastAsia="仿宋" w:cs="仿宋"/>
                <w:sz w:val="24"/>
                <w:szCs w:val="24"/>
              </w:rPr>
              <w:t>9</w:t>
            </w:r>
          </w:p>
        </w:tc>
        <w:tc>
          <w:tcPr>
            <w:tcW w:w="2035" w:type="dxa"/>
            <w:vAlign w:val="center"/>
          </w:tcPr>
          <w:p w14:paraId="6A98C8B9">
            <w:pPr>
              <w:ind w:firstLine="0" w:firstLineChars="0"/>
              <w:jc w:val="center"/>
              <w:rPr>
                <w:rFonts w:ascii="仿宋" w:hAnsi="仿宋" w:eastAsia="仿宋" w:cs="仿宋"/>
                <w:sz w:val="24"/>
                <w:szCs w:val="24"/>
              </w:rPr>
            </w:pPr>
            <w:r>
              <w:rPr>
                <w:rFonts w:hint="eastAsia" w:ascii="仿宋" w:hAnsi="仿宋" w:eastAsia="仿宋" w:cs="仿宋"/>
                <w:sz w:val="24"/>
                <w:szCs w:val="24"/>
              </w:rPr>
              <w:t>响应文件编制</w:t>
            </w:r>
          </w:p>
        </w:tc>
        <w:tc>
          <w:tcPr>
            <w:tcW w:w="7227" w:type="dxa"/>
            <w:vAlign w:val="center"/>
          </w:tcPr>
          <w:p w14:paraId="02595713">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响应文件数量：正本、副本各一份（以上资料均须密封在一个密封袋内，在密封处加盖报价供应商公章，文件资料须双面打印且装订成册，正本和副本不一致的以正本为准，中选供应商须提供正本的PDF格式扫描件）。</w:t>
            </w:r>
          </w:p>
          <w:p w14:paraId="386E2821">
            <w:pPr>
              <w:widowControl/>
              <w:adjustRightInd w:val="0"/>
              <w:snapToGrid w:val="0"/>
              <w:spacing w:line="620" w:lineRule="exact"/>
              <w:ind w:firstLine="480"/>
              <w:jc w:val="both"/>
              <w:rPr>
                <w:rFonts w:ascii="仿宋" w:hAnsi="仿宋" w:eastAsia="仿宋" w:cs="仿宋"/>
                <w:sz w:val="24"/>
                <w:szCs w:val="24"/>
              </w:rPr>
            </w:pPr>
            <w:r>
              <w:rPr>
                <w:rFonts w:hint="eastAsia" w:ascii="仿宋" w:hAnsi="仿宋" w:eastAsia="仿宋" w:cs="仿宋"/>
                <w:sz w:val="24"/>
                <w:szCs w:val="24"/>
              </w:rPr>
              <w:t>注：成交供应商在合同签订前，若采购人需要，须再向采购人提供有效的PDF及Word版报价文件。</w:t>
            </w:r>
          </w:p>
        </w:tc>
      </w:tr>
      <w:tr w14:paraId="0A3F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67" w:type="dxa"/>
            <w:vAlign w:val="center"/>
          </w:tcPr>
          <w:p w14:paraId="0C834EF2">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35" w:type="dxa"/>
            <w:vAlign w:val="center"/>
          </w:tcPr>
          <w:p w14:paraId="247862F9">
            <w:pPr>
              <w:widowControl/>
              <w:wordWrap w:val="0"/>
              <w:spacing w:line="240" w:lineRule="auto"/>
              <w:ind w:firstLine="0" w:firstLineChars="0"/>
              <w:jc w:val="center"/>
              <w:rPr>
                <w:rFonts w:ascii="仿宋" w:hAnsi="仿宋" w:eastAsia="仿宋" w:cs="仿宋"/>
                <w:sz w:val="24"/>
                <w:szCs w:val="24"/>
              </w:rPr>
            </w:pPr>
            <w:r>
              <w:rPr>
                <w:rFonts w:hint="eastAsia" w:ascii="仿宋" w:hAnsi="仿宋" w:eastAsia="仿宋" w:cs="仿宋"/>
                <w:sz w:val="24"/>
                <w:szCs w:val="24"/>
              </w:rPr>
              <w:t>响应文件递交截止时间</w:t>
            </w:r>
          </w:p>
        </w:tc>
        <w:tc>
          <w:tcPr>
            <w:tcW w:w="7227" w:type="dxa"/>
            <w:vAlign w:val="center"/>
          </w:tcPr>
          <w:p w14:paraId="3979A1C1">
            <w:pPr>
              <w:widowControl/>
              <w:wordWrap w:val="0"/>
              <w:ind w:firstLine="480"/>
              <w:rPr>
                <w:rFonts w:ascii="仿宋" w:hAnsi="仿宋" w:eastAsia="仿宋" w:cs="仿宋"/>
                <w:sz w:val="24"/>
                <w:szCs w:val="24"/>
              </w:rPr>
            </w:pPr>
            <w:r>
              <w:rPr>
                <w:rFonts w:hint="eastAsia" w:ascii="仿宋" w:hAnsi="仿宋" w:eastAsia="仿宋" w:cs="仿宋"/>
                <w:sz w:val="24"/>
                <w:szCs w:val="24"/>
              </w:rPr>
              <w:t>详见公告内容。</w:t>
            </w:r>
          </w:p>
        </w:tc>
      </w:tr>
      <w:tr w14:paraId="56C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7" w:type="dxa"/>
            <w:vAlign w:val="center"/>
          </w:tcPr>
          <w:p w14:paraId="384318F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35" w:type="dxa"/>
            <w:vAlign w:val="center"/>
          </w:tcPr>
          <w:p w14:paraId="0121039D">
            <w:pPr>
              <w:widowControl/>
              <w:wordWrap w:val="0"/>
              <w:ind w:firstLine="0" w:firstLineChars="0"/>
              <w:jc w:val="center"/>
              <w:rPr>
                <w:rFonts w:ascii="仿宋" w:hAnsi="仿宋" w:eastAsia="仿宋" w:cs="仿宋"/>
                <w:sz w:val="24"/>
                <w:szCs w:val="24"/>
              </w:rPr>
            </w:pPr>
            <w:r>
              <w:rPr>
                <w:rFonts w:hint="eastAsia" w:ascii="仿宋" w:hAnsi="仿宋" w:eastAsia="仿宋" w:cs="仿宋"/>
                <w:sz w:val="24"/>
                <w:szCs w:val="24"/>
              </w:rPr>
              <w:t>询比有效期</w:t>
            </w:r>
          </w:p>
        </w:tc>
        <w:tc>
          <w:tcPr>
            <w:tcW w:w="7227" w:type="dxa"/>
            <w:vAlign w:val="center"/>
          </w:tcPr>
          <w:p w14:paraId="6A944FA3">
            <w:pPr>
              <w:widowControl/>
              <w:wordWrap w:val="0"/>
              <w:ind w:firstLine="480"/>
              <w:rPr>
                <w:rFonts w:ascii="仿宋" w:hAnsi="仿宋" w:eastAsia="仿宋" w:cs="仿宋"/>
                <w:sz w:val="24"/>
                <w:szCs w:val="24"/>
              </w:rPr>
            </w:pPr>
            <w:r>
              <w:rPr>
                <w:rFonts w:hint="eastAsia" w:ascii="仿宋" w:hAnsi="仿宋" w:eastAsia="仿宋" w:cs="仿宋"/>
                <w:sz w:val="24"/>
                <w:szCs w:val="24"/>
              </w:rPr>
              <w:t>从询比截止时间起计，90日历天。</w:t>
            </w:r>
          </w:p>
        </w:tc>
      </w:tr>
      <w:tr w14:paraId="44B2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vAlign w:val="center"/>
          </w:tcPr>
          <w:p w14:paraId="1F52F7EE">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35" w:type="dxa"/>
            <w:vAlign w:val="center"/>
          </w:tcPr>
          <w:p w14:paraId="4CFE224D">
            <w:pPr>
              <w:widowControl/>
              <w:wordWrap w:val="0"/>
              <w:ind w:firstLine="0" w:firstLineChars="0"/>
              <w:rPr>
                <w:rFonts w:ascii="仿宋" w:hAnsi="仿宋" w:eastAsia="仿宋" w:cs="仿宋"/>
                <w:sz w:val="24"/>
                <w:szCs w:val="24"/>
              </w:rPr>
            </w:pPr>
            <w:r>
              <w:rPr>
                <w:rFonts w:hint="eastAsia" w:ascii="仿宋" w:hAnsi="仿宋" w:eastAsia="仿宋" w:cs="仿宋"/>
                <w:sz w:val="24"/>
                <w:szCs w:val="24"/>
              </w:rPr>
              <w:t>询比时间及地点</w:t>
            </w:r>
          </w:p>
        </w:tc>
        <w:tc>
          <w:tcPr>
            <w:tcW w:w="7227" w:type="dxa"/>
            <w:vAlign w:val="center"/>
          </w:tcPr>
          <w:p w14:paraId="4C76D0B1">
            <w:pPr>
              <w:widowControl/>
              <w:wordWrap w:val="0"/>
              <w:ind w:firstLine="480"/>
              <w:rPr>
                <w:rFonts w:ascii="仿宋" w:hAnsi="仿宋" w:eastAsia="仿宋" w:cs="仿宋"/>
                <w:sz w:val="24"/>
                <w:szCs w:val="24"/>
              </w:rPr>
            </w:pPr>
            <w:r>
              <w:rPr>
                <w:rFonts w:hint="eastAsia" w:ascii="仿宋" w:hAnsi="仿宋" w:eastAsia="仿宋" w:cs="仿宋"/>
                <w:sz w:val="24"/>
                <w:szCs w:val="24"/>
              </w:rPr>
              <w:t>询比时间：同询比响应文件递交截止时间。</w:t>
            </w:r>
          </w:p>
          <w:p w14:paraId="053105A6">
            <w:pPr>
              <w:widowControl/>
              <w:wordWrap w:val="0"/>
              <w:ind w:firstLine="480"/>
              <w:rPr>
                <w:rFonts w:ascii="仿宋" w:hAnsi="仿宋" w:eastAsia="仿宋" w:cs="仿宋"/>
                <w:sz w:val="24"/>
                <w:szCs w:val="24"/>
              </w:rPr>
            </w:pPr>
            <w:r>
              <w:rPr>
                <w:rFonts w:hint="eastAsia" w:ascii="仿宋" w:hAnsi="仿宋" w:eastAsia="仿宋" w:cs="仿宋"/>
                <w:sz w:val="24"/>
                <w:szCs w:val="24"/>
              </w:rPr>
              <w:t>询比地点：同递交询比响应文件地点。</w:t>
            </w:r>
          </w:p>
        </w:tc>
      </w:tr>
      <w:tr w14:paraId="7E5B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7" w:type="dxa"/>
            <w:vAlign w:val="center"/>
          </w:tcPr>
          <w:p w14:paraId="0A5863C3">
            <w:pPr>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35" w:type="dxa"/>
            <w:vAlign w:val="center"/>
          </w:tcPr>
          <w:p w14:paraId="7BF7F67E">
            <w:pPr>
              <w:widowControl/>
              <w:wordWrap w:val="0"/>
              <w:ind w:firstLine="482"/>
              <w:rPr>
                <w:rFonts w:ascii="仿宋" w:hAnsi="仿宋" w:eastAsia="仿宋" w:cs="仿宋"/>
                <w:sz w:val="24"/>
                <w:szCs w:val="24"/>
              </w:rPr>
            </w:pPr>
            <w:r>
              <w:rPr>
                <w:rFonts w:hint="eastAsia" w:ascii="仿宋" w:hAnsi="仿宋" w:eastAsia="仿宋" w:cs="仿宋"/>
                <w:b/>
                <w:bCs/>
                <w:sz w:val="24"/>
                <w:szCs w:val="24"/>
              </w:rPr>
              <w:t>询比程序</w:t>
            </w:r>
          </w:p>
        </w:tc>
        <w:tc>
          <w:tcPr>
            <w:tcW w:w="7227" w:type="dxa"/>
            <w:vAlign w:val="center"/>
          </w:tcPr>
          <w:p w14:paraId="72B84AFD">
            <w:pPr>
              <w:widowControl/>
              <w:wordWrap w:val="0"/>
              <w:ind w:firstLine="480"/>
              <w:rPr>
                <w:rFonts w:ascii="仿宋" w:hAnsi="仿宋" w:eastAsia="仿宋" w:cs="仿宋"/>
                <w:sz w:val="24"/>
                <w:szCs w:val="24"/>
              </w:rPr>
            </w:pPr>
            <w:r>
              <w:rPr>
                <w:rFonts w:hint="eastAsia" w:ascii="仿宋" w:hAnsi="仿宋" w:eastAsia="仿宋" w:cs="仿宋"/>
                <w:sz w:val="24"/>
                <w:szCs w:val="24"/>
              </w:rPr>
              <w:t>1.采购人在询比公告中规定的日期、时间和地点组织询比，询比时所有供应商代表、采购人和有关管理、监督机关代表均可参加；</w:t>
            </w:r>
          </w:p>
          <w:p w14:paraId="2321B8A2">
            <w:pPr>
              <w:widowControl/>
              <w:wordWrap w:val="0"/>
              <w:ind w:firstLine="480"/>
              <w:rPr>
                <w:rFonts w:ascii="仿宋" w:hAnsi="仿宋" w:eastAsia="仿宋" w:cs="仿宋"/>
                <w:sz w:val="24"/>
                <w:szCs w:val="24"/>
              </w:rPr>
            </w:pPr>
            <w:r>
              <w:rPr>
                <w:rFonts w:hint="eastAsia" w:ascii="仿宋" w:hAnsi="仿宋" w:eastAsia="仿宋" w:cs="仿宋"/>
                <w:sz w:val="24"/>
                <w:szCs w:val="24"/>
              </w:rPr>
              <w:t>2.参与询比的供应商签到；</w:t>
            </w:r>
          </w:p>
          <w:p w14:paraId="5FB4E7E8">
            <w:pPr>
              <w:widowControl/>
              <w:wordWrap w:val="0"/>
              <w:ind w:firstLine="480"/>
              <w:rPr>
                <w:rFonts w:ascii="仿宋" w:hAnsi="仿宋" w:eastAsia="仿宋" w:cs="仿宋"/>
                <w:sz w:val="24"/>
                <w:szCs w:val="24"/>
              </w:rPr>
            </w:pPr>
            <w:r>
              <w:rPr>
                <w:rFonts w:hint="eastAsia" w:ascii="仿宋" w:hAnsi="仿宋" w:eastAsia="仿宋" w:cs="仿宋"/>
                <w:sz w:val="24"/>
                <w:szCs w:val="24"/>
              </w:rPr>
              <w:t>3.响应文件的核验及宣读；</w:t>
            </w:r>
          </w:p>
          <w:p w14:paraId="3A318CF1">
            <w:pPr>
              <w:widowControl/>
              <w:wordWrap w:val="0"/>
              <w:ind w:firstLine="480"/>
              <w:rPr>
                <w:rFonts w:ascii="仿宋" w:hAnsi="仿宋" w:eastAsia="仿宋" w:cs="仿宋"/>
                <w:sz w:val="24"/>
                <w:szCs w:val="24"/>
              </w:rPr>
            </w:pPr>
            <w:r>
              <w:rPr>
                <w:rFonts w:hint="eastAsia" w:ascii="仿宋" w:hAnsi="仿宋" w:eastAsia="仿宋" w:cs="仿宋"/>
                <w:sz w:val="24"/>
                <w:szCs w:val="24"/>
              </w:rPr>
              <w:t>3.1.询比时，由到场评审人员检查询比响应文件的密封情况，经确认无误后，工作人员当众宣读供应商名称、响应性文件报价等。对于供应商在询比响应截止期前递交的询比响应声明，在询比时当众宣读，评审时有效。采购部门工作人员对宣读内容做询比记录。</w:t>
            </w:r>
          </w:p>
          <w:p w14:paraId="7A1D31A2">
            <w:pPr>
              <w:widowControl/>
              <w:wordWrap w:val="0"/>
              <w:ind w:firstLine="480"/>
              <w:rPr>
                <w:rFonts w:ascii="仿宋" w:hAnsi="仿宋" w:eastAsia="仿宋" w:cs="仿宋"/>
                <w:sz w:val="24"/>
                <w:szCs w:val="24"/>
              </w:rPr>
            </w:pPr>
            <w:r>
              <w:rPr>
                <w:rFonts w:hint="eastAsia" w:ascii="仿宋" w:hAnsi="仿宋" w:eastAsia="仿宋" w:cs="仿宋"/>
                <w:sz w:val="24"/>
                <w:szCs w:val="24"/>
              </w:rPr>
              <w:t>3.2对供应商报价进行公示，并由到场的授权代表签字确认；</w:t>
            </w:r>
          </w:p>
          <w:p w14:paraId="4D061B8C">
            <w:pPr>
              <w:widowControl/>
              <w:wordWrap w:val="0"/>
              <w:ind w:firstLine="480"/>
            </w:pPr>
            <w:r>
              <w:rPr>
                <w:rFonts w:hint="eastAsia" w:ascii="仿宋" w:hAnsi="仿宋" w:eastAsia="仿宋" w:cs="仿宋"/>
                <w:sz w:val="24"/>
                <w:szCs w:val="24"/>
              </w:rPr>
              <w:t>4.在询比过程中，询比的任何一方不得透露与询比有关的其他供应商的技术资料、价格和其它信息。</w:t>
            </w:r>
          </w:p>
        </w:tc>
      </w:tr>
      <w:tr w14:paraId="44E9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7" w:type="dxa"/>
            <w:vAlign w:val="center"/>
          </w:tcPr>
          <w:p w14:paraId="1C5EDECE">
            <w:pPr>
              <w:ind w:firstLine="0" w:firstLineChars="0"/>
              <w:jc w:val="center"/>
              <w:rPr>
                <w:rFonts w:ascii="仿宋" w:hAnsi="仿宋" w:eastAsia="仿宋" w:cs="仿宋"/>
                <w:sz w:val="24"/>
                <w:szCs w:val="24"/>
              </w:rPr>
            </w:pPr>
            <w:r>
              <w:rPr>
                <w:rFonts w:hint="eastAsia" w:ascii="仿宋" w:hAnsi="仿宋" w:eastAsia="仿宋" w:cs="仿宋"/>
                <w:sz w:val="24"/>
                <w:szCs w:val="24"/>
              </w:rPr>
              <w:t>14</w:t>
            </w:r>
          </w:p>
        </w:tc>
        <w:tc>
          <w:tcPr>
            <w:tcW w:w="2035" w:type="dxa"/>
            <w:vAlign w:val="center"/>
          </w:tcPr>
          <w:p w14:paraId="7E964E30">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询比报价</w:t>
            </w:r>
          </w:p>
        </w:tc>
        <w:tc>
          <w:tcPr>
            <w:tcW w:w="7227" w:type="dxa"/>
            <w:vAlign w:val="center"/>
          </w:tcPr>
          <w:p w14:paraId="674280F8">
            <w:pPr>
              <w:widowControl/>
              <w:wordWrap w:val="0"/>
              <w:ind w:firstLine="480"/>
              <w:rPr>
                <w:rFonts w:ascii="仿宋" w:hAnsi="仿宋" w:eastAsia="仿宋" w:cs="仿宋"/>
                <w:sz w:val="24"/>
                <w:szCs w:val="24"/>
              </w:rPr>
            </w:pPr>
            <w:r>
              <w:rPr>
                <w:rFonts w:hint="eastAsia" w:ascii="仿宋" w:hAnsi="仿宋" w:eastAsia="仿宋" w:cs="仿宋"/>
                <w:sz w:val="24"/>
                <w:szCs w:val="24"/>
              </w:rPr>
              <w:t>1.询比货币：人民币。</w:t>
            </w:r>
          </w:p>
          <w:p w14:paraId="7D5A9BE8">
            <w:pPr>
              <w:widowControl/>
              <w:wordWrap w:val="0"/>
              <w:ind w:firstLine="480"/>
              <w:rPr>
                <w:rFonts w:ascii="仿宋" w:hAnsi="仿宋" w:eastAsia="仿宋" w:cs="仿宋"/>
                <w:sz w:val="24"/>
                <w:szCs w:val="24"/>
              </w:rPr>
            </w:pPr>
            <w:r>
              <w:rPr>
                <w:rFonts w:hint="eastAsia" w:ascii="仿宋" w:hAnsi="仿宋" w:eastAsia="仿宋" w:cs="仿宋"/>
                <w:sz w:val="24"/>
                <w:szCs w:val="24"/>
              </w:rPr>
              <w:t>2.本次报价包括但不限于货物到达指定交货地点的设备费、运输费、保险、装卸搬运费、安装费、调试费、现场协调费、管理费、规费、税金、利润、售后服务以及可能发生的风险等为完成项目的一切费用。</w:t>
            </w:r>
          </w:p>
          <w:p w14:paraId="181C101D">
            <w:pPr>
              <w:widowControl/>
              <w:wordWrap w:val="0"/>
              <w:ind w:firstLine="480"/>
              <w:rPr>
                <w:rFonts w:ascii="仿宋" w:hAnsi="仿宋" w:eastAsia="仿宋" w:cs="仿宋"/>
                <w:sz w:val="24"/>
                <w:szCs w:val="24"/>
              </w:rPr>
            </w:pPr>
            <w:r>
              <w:rPr>
                <w:rFonts w:hint="eastAsia" w:ascii="仿宋" w:hAnsi="仿宋" w:eastAsia="仿宋" w:cs="仿宋"/>
                <w:sz w:val="24"/>
                <w:szCs w:val="24"/>
              </w:rPr>
              <w:t>3.本项目为一轮报价，不进行二轮报价。</w:t>
            </w:r>
          </w:p>
          <w:p w14:paraId="07A2F3B1">
            <w:pPr>
              <w:widowControl/>
              <w:wordWrap w:val="0"/>
              <w:ind w:firstLine="480"/>
              <w:rPr>
                <w:rFonts w:ascii="仿宋" w:hAnsi="仿宋" w:eastAsia="仿宋" w:cs="仿宋"/>
                <w:sz w:val="24"/>
                <w:szCs w:val="24"/>
              </w:rPr>
            </w:pPr>
            <w:r>
              <w:rPr>
                <w:rFonts w:hint="eastAsia" w:ascii="仿宋" w:hAnsi="仿宋" w:eastAsia="仿宋" w:cs="仿宋"/>
                <w:sz w:val="24"/>
                <w:szCs w:val="24"/>
              </w:rPr>
              <w:t>4.本项目采购代理服务费由采购人支付，供应商的询比报价中不含该项费用。</w:t>
            </w:r>
          </w:p>
          <w:p w14:paraId="116B87E6">
            <w:pPr>
              <w:widowControl/>
              <w:wordWrap w:val="0"/>
              <w:ind w:firstLine="480"/>
              <w:rPr>
                <w:rFonts w:ascii="仿宋" w:hAnsi="仿宋" w:eastAsia="仿宋" w:cs="仿宋"/>
                <w:sz w:val="24"/>
                <w:szCs w:val="24"/>
              </w:rPr>
            </w:pPr>
            <w:r>
              <w:rPr>
                <w:rFonts w:hint="eastAsia" w:ascii="仿宋" w:hAnsi="仿宋" w:eastAsia="仿宋" w:cs="仿宋"/>
                <w:sz w:val="24"/>
                <w:szCs w:val="24"/>
              </w:rPr>
              <w:t>5.采购人只接受唯一的询比报价。</w:t>
            </w:r>
          </w:p>
          <w:p w14:paraId="654937AD">
            <w:pPr>
              <w:widowControl/>
              <w:wordWrap w:val="0"/>
              <w:ind w:firstLine="480"/>
              <w:rPr>
                <w:rFonts w:ascii="仿宋" w:hAnsi="仿宋" w:eastAsia="仿宋" w:cs="仿宋"/>
                <w:b/>
                <w:bCs/>
                <w:sz w:val="24"/>
                <w:szCs w:val="24"/>
              </w:rPr>
            </w:pPr>
            <w:r>
              <w:rPr>
                <w:rFonts w:hint="eastAsia" w:ascii="仿宋" w:hAnsi="仿宋" w:eastAsia="仿宋" w:cs="仿宋"/>
                <w:sz w:val="24"/>
                <w:szCs w:val="24"/>
              </w:rPr>
              <w:t>6.本项目为含税固定综合单价，成交后不予调整。</w:t>
            </w:r>
          </w:p>
        </w:tc>
      </w:tr>
      <w:tr w14:paraId="11D0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7" w:type="dxa"/>
            <w:vAlign w:val="center"/>
          </w:tcPr>
          <w:p w14:paraId="5B38FAC0">
            <w:pPr>
              <w:ind w:firstLine="0" w:firstLineChars="0"/>
              <w:jc w:val="center"/>
              <w:rPr>
                <w:rFonts w:ascii="仿宋" w:hAnsi="仿宋" w:eastAsia="仿宋" w:cs="仿宋"/>
                <w:sz w:val="24"/>
                <w:szCs w:val="24"/>
              </w:rPr>
            </w:pPr>
            <w:r>
              <w:rPr>
                <w:rFonts w:hint="eastAsia" w:ascii="仿宋" w:hAnsi="仿宋" w:eastAsia="仿宋" w:cs="仿宋"/>
                <w:sz w:val="24"/>
                <w:szCs w:val="24"/>
              </w:rPr>
              <w:t>15</w:t>
            </w:r>
          </w:p>
        </w:tc>
        <w:tc>
          <w:tcPr>
            <w:tcW w:w="2035" w:type="dxa"/>
            <w:vAlign w:val="center"/>
          </w:tcPr>
          <w:p w14:paraId="33F86E38">
            <w:pPr>
              <w:ind w:firstLine="0" w:firstLineChars="0"/>
              <w:jc w:val="center"/>
              <w:rPr>
                <w:rFonts w:ascii="仿宋" w:hAnsi="仿宋" w:eastAsia="仿宋" w:cs="仿宋"/>
                <w:b/>
                <w:sz w:val="24"/>
                <w:szCs w:val="24"/>
              </w:rPr>
            </w:pPr>
            <w:r>
              <w:rPr>
                <w:rFonts w:hint="eastAsia" w:ascii="仿宋" w:hAnsi="仿宋" w:eastAsia="仿宋" w:cs="仿宋"/>
                <w:b/>
                <w:bCs/>
                <w:sz w:val="24"/>
                <w:szCs w:val="24"/>
              </w:rPr>
              <w:t>最高采购限价</w:t>
            </w:r>
          </w:p>
        </w:tc>
        <w:tc>
          <w:tcPr>
            <w:tcW w:w="7227" w:type="dxa"/>
            <w:vAlign w:val="center"/>
          </w:tcPr>
          <w:p w14:paraId="5CA92558">
            <w:pPr>
              <w:pStyle w:val="12"/>
              <w:ind w:firstLine="480"/>
              <w:rPr>
                <w:rFonts w:ascii="仿宋" w:hAnsi="仿宋" w:eastAsia="仿宋" w:cs="仿宋"/>
                <w:color w:val="auto"/>
                <w:kern w:val="2"/>
              </w:rPr>
            </w:pPr>
            <w:r>
              <w:rPr>
                <w:rFonts w:hint="eastAsia" w:ascii="仿宋" w:hAnsi="仿宋" w:eastAsia="仿宋" w:cs="仿宋"/>
                <w:color w:val="auto"/>
                <w:kern w:val="2"/>
              </w:rPr>
              <w:t>本项目最高采购限价单价（含税）详见“第三部分 采购需求”内容。</w:t>
            </w:r>
          </w:p>
          <w:p w14:paraId="600A9A5A">
            <w:pPr>
              <w:widowControl/>
              <w:ind w:firstLine="480"/>
              <w:rPr>
                <w:rFonts w:ascii="仿宋" w:hAnsi="仿宋" w:eastAsia="仿宋" w:cs="仿宋"/>
                <w:b/>
                <w:sz w:val="24"/>
                <w:szCs w:val="24"/>
              </w:rPr>
            </w:pPr>
            <w:r>
              <w:rPr>
                <w:rFonts w:hint="eastAsia" w:ascii="仿宋" w:hAnsi="仿宋" w:eastAsia="仿宋" w:cs="仿宋"/>
                <w:sz w:val="24"/>
                <w:szCs w:val="24"/>
              </w:rPr>
              <w:t>注：供应商的</w:t>
            </w:r>
            <w:r>
              <w:rPr>
                <w:rFonts w:hint="eastAsia" w:ascii="仿宋" w:hAnsi="仿宋" w:eastAsia="仿宋" w:cs="仿宋"/>
                <w:b/>
                <w:bCs/>
                <w:sz w:val="24"/>
                <w:szCs w:val="24"/>
              </w:rPr>
              <w:t>询比单价</w:t>
            </w:r>
            <w:r>
              <w:rPr>
                <w:rFonts w:hint="eastAsia" w:ascii="仿宋" w:hAnsi="仿宋" w:eastAsia="仿宋" w:cs="仿宋"/>
                <w:sz w:val="24"/>
                <w:szCs w:val="24"/>
              </w:rPr>
              <w:t>均不得超过最高采购限价，否则作无效响应处理。</w:t>
            </w:r>
          </w:p>
        </w:tc>
      </w:tr>
      <w:tr w14:paraId="069E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7" w:type="dxa"/>
            <w:vAlign w:val="center"/>
          </w:tcPr>
          <w:p w14:paraId="7FF6F05E">
            <w:pPr>
              <w:ind w:firstLine="0" w:firstLineChars="0"/>
              <w:jc w:val="center"/>
              <w:rPr>
                <w:rFonts w:ascii="仿宋" w:hAnsi="仿宋" w:eastAsia="仿宋" w:cs="仿宋"/>
                <w:sz w:val="24"/>
                <w:szCs w:val="24"/>
              </w:rPr>
            </w:pPr>
            <w:r>
              <w:rPr>
                <w:rFonts w:hint="eastAsia" w:ascii="仿宋" w:hAnsi="仿宋" w:eastAsia="仿宋" w:cs="仿宋"/>
                <w:sz w:val="24"/>
                <w:szCs w:val="24"/>
              </w:rPr>
              <w:t>16</w:t>
            </w:r>
          </w:p>
        </w:tc>
        <w:tc>
          <w:tcPr>
            <w:tcW w:w="2035" w:type="dxa"/>
            <w:vAlign w:val="center"/>
          </w:tcPr>
          <w:p w14:paraId="3F703F02">
            <w:pPr>
              <w:ind w:firstLine="0" w:firstLineChars="0"/>
              <w:jc w:val="center"/>
              <w:rPr>
                <w:rFonts w:ascii="仿宋" w:hAnsi="仿宋" w:eastAsia="仿宋" w:cs="仿宋"/>
                <w:sz w:val="24"/>
                <w:szCs w:val="24"/>
              </w:rPr>
            </w:pPr>
            <w:r>
              <w:rPr>
                <w:rFonts w:hint="eastAsia" w:ascii="仿宋" w:hAnsi="仿宋" w:eastAsia="仿宋" w:cs="仿宋"/>
                <w:b/>
                <w:bCs/>
                <w:sz w:val="24"/>
                <w:szCs w:val="24"/>
              </w:rPr>
              <w:t>付款方式</w:t>
            </w:r>
          </w:p>
        </w:tc>
        <w:tc>
          <w:tcPr>
            <w:tcW w:w="7227" w:type="dxa"/>
            <w:vAlign w:val="center"/>
          </w:tcPr>
          <w:p w14:paraId="502E091E">
            <w:pPr>
              <w:widowControl/>
              <w:ind w:firstLine="480"/>
              <w:rPr>
                <w:rFonts w:ascii="仿宋" w:hAnsi="仿宋" w:eastAsia="仿宋" w:cs="仿宋"/>
                <w:sz w:val="24"/>
                <w:szCs w:val="24"/>
              </w:rPr>
            </w:pPr>
            <w:r>
              <w:rPr>
                <w:rFonts w:hint="eastAsia" w:ascii="仿宋" w:hAnsi="仿宋" w:eastAsia="仿宋" w:cs="仿宋"/>
                <w:sz w:val="24"/>
                <w:szCs w:val="24"/>
              </w:rPr>
              <w:t>1.本项目</w:t>
            </w:r>
            <w:r>
              <w:rPr>
                <w:rFonts w:hint="eastAsia" w:ascii="仿宋" w:hAnsi="仿宋" w:eastAsia="仿宋" w:cs="仿宋"/>
                <w:b/>
                <w:bCs/>
                <w:sz w:val="24"/>
                <w:szCs w:val="24"/>
              </w:rPr>
              <w:t>无预付款</w:t>
            </w:r>
            <w:r>
              <w:rPr>
                <w:rFonts w:hint="eastAsia" w:ascii="仿宋" w:hAnsi="仿宋" w:eastAsia="仿宋" w:cs="仿宋"/>
                <w:sz w:val="24"/>
                <w:szCs w:val="24"/>
              </w:rPr>
              <w:t>；</w:t>
            </w:r>
          </w:p>
          <w:p w14:paraId="11209220">
            <w:pPr>
              <w:widowControl/>
              <w:ind w:firstLine="480"/>
              <w:rPr>
                <w:rFonts w:ascii="仿宋" w:hAnsi="仿宋" w:eastAsia="仿宋" w:cs="仿宋"/>
                <w:sz w:val="24"/>
                <w:szCs w:val="24"/>
              </w:rPr>
            </w:pPr>
            <w:r>
              <w:rPr>
                <w:rFonts w:hint="eastAsia" w:ascii="仿宋" w:hAnsi="仿宋" w:eastAsia="仿宋" w:cs="仿宋"/>
                <w:sz w:val="24"/>
                <w:szCs w:val="24"/>
              </w:rPr>
              <w:t>2.本项目通过采购人组织验收合格后，按实际验收数量支付至货物价款的100%；</w:t>
            </w:r>
          </w:p>
          <w:p w14:paraId="7945D236">
            <w:pPr>
              <w:widowControl/>
              <w:ind w:firstLine="480"/>
            </w:pPr>
            <w:r>
              <w:rPr>
                <w:rFonts w:hint="eastAsia" w:ascii="仿宋" w:hAnsi="仿宋" w:eastAsia="仿宋" w:cs="仿宋"/>
                <w:sz w:val="24"/>
                <w:szCs w:val="24"/>
              </w:rPr>
              <w:t>3.成交供应商办理付款时需提供税率为13%的增值税专用发票，如遇税率调整，按调整后的税率办理结算。</w:t>
            </w:r>
          </w:p>
        </w:tc>
      </w:tr>
      <w:tr w14:paraId="0A20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7" w:type="dxa"/>
            <w:vAlign w:val="center"/>
          </w:tcPr>
          <w:p w14:paraId="24E4072E">
            <w:pPr>
              <w:ind w:firstLine="0" w:firstLineChars="0"/>
              <w:jc w:val="center"/>
              <w:rPr>
                <w:rFonts w:ascii="仿宋" w:hAnsi="仿宋" w:eastAsia="仿宋" w:cs="仿宋"/>
                <w:sz w:val="24"/>
                <w:szCs w:val="24"/>
              </w:rPr>
            </w:pPr>
            <w:r>
              <w:rPr>
                <w:rFonts w:hint="eastAsia" w:ascii="仿宋" w:hAnsi="仿宋" w:eastAsia="仿宋" w:cs="仿宋"/>
                <w:sz w:val="24"/>
                <w:szCs w:val="24"/>
              </w:rPr>
              <w:t>17</w:t>
            </w:r>
          </w:p>
        </w:tc>
        <w:tc>
          <w:tcPr>
            <w:tcW w:w="2035" w:type="dxa"/>
            <w:vAlign w:val="center"/>
          </w:tcPr>
          <w:p w14:paraId="5AF4408F">
            <w:pPr>
              <w:ind w:firstLine="0" w:firstLineChars="0"/>
              <w:jc w:val="center"/>
              <w:rPr>
                <w:rFonts w:ascii="仿宋" w:hAnsi="仿宋" w:eastAsia="仿宋" w:cs="仿宋"/>
                <w:sz w:val="24"/>
                <w:szCs w:val="24"/>
              </w:rPr>
            </w:pPr>
            <w:r>
              <w:rPr>
                <w:rFonts w:hint="eastAsia" w:ascii="仿宋" w:hAnsi="仿宋" w:eastAsia="仿宋" w:cs="仿宋"/>
                <w:sz w:val="24"/>
                <w:szCs w:val="24"/>
              </w:rPr>
              <w:t>询比评审小组</w:t>
            </w:r>
          </w:p>
        </w:tc>
        <w:tc>
          <w:tcPr>
            <w:tcW w:w="7227" w:type="dxa"/>
            <w:vAlign w:val="center"/>
          </w:tcPr>
          <w:p w14:paraId="675D8769">
            <w:pPr>
              <w:ind w:firstLine="480"/>
              <w:rPr>
                <w:rFonts w:ascii="仿宋" w:hAnsi="仿宋" w:eastAsia="仿宋" w:cs="仿宋"/>
                <w:sz w:val="24"/>
                <w:szCs w:val="24"/>
              </w:rPr>
            </w:pPr>
            <w:r>
              <w:rPr>
                <w:rFonts w:hint="eastAsia" w:ascii="仿宋" w:hAnsi="仿宋" w:eastAsia="仿宋" w:cs="仿宋"/>
                <w:sz w:val="24"/>
                <w:szCs w:val="24"/>
              </w:rPr>
              <w:t>依法组建询比评审小组，由采购人代表组成。</w:t>
            </w:r>
          </w:p>
        </w:tc>
      </w:tr>
      <w:tr w14:paraId="69F7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5DA3B06">
            <w:pPr>
              <w:ind w:firstLine="0" w:firstLineChars="0"/>
              <w:jc w:val="center"/>
              <w:rPr>
                <w:rFonts w:ascii="仿宋" w:hAnsi="仿宋" w:eastAsia="仿宋" w:cs="仿宋"/>
                <w:sz w:val="24"/>
                <w:szCs w:val="24"/>
              </w:rPr>
            </w:pPr>
            <w:r>
              <w:rPr>
                <w:rFonts w:hint="eastAsia" w:ascii="仿宋" w:hAnsi="仿宋" w:eastAsia="仿宋" w:cs="仿宋"/>
                <w:sz w:val="24"/>
                <w:szCs w:val="24"/>
              </w:rPr>
              <w:t>18</w:t>
            </w:r>
          </w:p>
        </w:tc>
        <w:tc>
          <w:tcPr>
            <w:tcW w:w="2035" w:type="dxa"/>
            <w:vAlign w:val="center"/>
          </w:tcPr>
          <w:p w14:paraId="40172188">
            <w:pPr>
              <w:ind w:firstLine="0" w:firstLineChars="0"/>
              <w:jc w:val="center"/>
              <w:rPr>
                <w:rFonts w:ascii="仿宋" w:hAnsi="仿宋" w:eastAsia="仿宋" w:cs="仿宋"/>
                <w:sz w:val="24"/>
                <w:szCs w:val="24"/>
              </w:rPr>
            </w:pPr>
            <w:r>
              <w:rPr>
                <w:rFonts w:hint="eastAsia" w:ascii="仿宋" w:hAnsi="仿宋" w:eastAsia="仿宋" w:cs="仿宋"/>
                <w:sz w:val="24"/>
                <w:szCs w:val="24"/>
              </w:rPr>
              <w:t>评审标准及办法</w:t>
            </w:r>
          </w:p>
        </w:tc>
        <w:tc>
          <w:tcPr>
            <w:tcW w:w="7227" w:type="dxa"/>
            <w:vAlign w:val="center"/>
          </w:tcPr>
          <w:p w14:paraId="526E3BC4">
            <w:pPr>
              <w:ind w:firstLine="480"/>
              <w:rPr>
                <w:rFonts w:ascii="仿宋" w:hAnsi="仿宋" w:eastAsia="仿宋" w:cs="仿宋"/>
                <w:sz w:val="24"/>
                <w:szCs w:val="24"/>
              </w:rPr>
            </w:pPr>
            <w:r>
              <w:rPr>
                <w:rFonts w:hint="eastAsia" w:ascii="仿宋" w:hAnsi="仿宋" w:eastAsia="仿宋" w:cs="仿宋"/>
                <w:sz w:val="24"/>
                <w:szCs w:val="24"/>
              </w:rPr>
              <w:t>详见询比文件</w:t>
            </w:r>
            <w:r>
              <w:rPr>
                <w:rFonts w:hint="eastAsia" w:ascii="仿宋" w:hAnsi="仿宋" w:eastAsia="仿宋" w:cs="仿宋"/>
                <w:b/>
                <w:bCs/>
                <w:sz w:val="24"/>
                <w:szCs w:val="24"/>
              </w:rPr>
              <w:t xml:space="preserve">第四部分 </w:t>
            </w:r>
            <w:r>
              <w:rPr>
                <w:rFonts w:hint="eastAsia" w:ascii="仿宋" w:hAnsi="仿宋" w:eastAsia="仿宋" w:cs="仿宋"/>
                <w:sz w:val="24"/>
                <w:szCs w:val="24"/>
              </w:rPr>
              <w:t>评审标准及办法。</w:t>
            </w:r>
          </w:p>
        </w:tc>
      </w:tr>
      <w:tr w14:paraId="234C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7" w:type="dxa"/>
            <w:vAlign w:val="center"/>
          </w:tcPr>
          <w:p w14:paraId="5ED3AA33">
            <w:pPr>
              <w:ind w:firstLine="0" w:firstLineChars="0"/>
              <w:jc w:val="center"/>
              <w:rPr>
                <w:rFonts w:ascii="仿宋" w:hAnsi="仿宋" w:eastAsia="仿宋" w:cs="仿宋"/>
                <w:sz w:val="24"/>
                <w:szCs w:val="24"/>
              </w:rPr>
            </w:pPr>
            <w:r>
              <w:rPr>
                <w:rFonts w:hint="eastAsia" w:ascii="仿宋" w:hAnsi="仿宋" w:eastAsia="仿宋" w:cs="仿宋"/>
                <w:sz w:val="24"/>
                <w:szCs w:val="24"/>
              </w:rPr>
              <w:t>19</w:t>
            </w:r>
          </w:p>
        </w:tc>
        <w:tc>
          <w:tcPr>
            <w:tcW w:w="2035" w:type="dxa"/>
            <w:vAlign w:val="center"/>
          </w:tcPr>
          <w:p w14:paraId="7935465C">
            <w:pPr>
              <w:ind w:firstLine="0" w:firstLineChars="0"/>
              <w:jc w:val="center"/>
              <w:rPr>
                <w:rFonts w:ascii="仿宋" w:hAnsi="仿宋" w:eastAsia="仿宋" w:cs="仿宋"/>
                <w:sz w:val="24"/>
                <w:szCs w:val="24"/>
              </w:rPr>
            </w:pPr>
            <w:r>
              <w:rPr>
                <w:rFonts w:hint="eastAsia" w:ascii="仿宋" w:hAnsi="仿宋" w:eastAsia="仿宋" w:cs="仿宋"/>
                <w:sz w:val="24"/>
                <w:szCs w:val="24"/>
              </w:rPr>
              <w:t>评审结果告知</w:t>
            </w:r>
          </w:p>
        </w:tc>
        <w:tc>
          <w:tcPr>
            <w:tcW w:w="7227" w:type="dxa"/>
            <w:vAlign w:val="center"/>
          </w:tcPr>
          <w:p w14:paraId="0BD91D7A">
            <w:pPr>
              <w:ind w:firstLine="480"/>
              <w:rPr>
                <w:rFonts w:ascii="仿宋" w:hAnsi="仿宋" w:eastAsia="仿宋" w:cs="仿宋"/>
                <w:sz w:val="24"/>
                <w:szCs w:val="24"/>
              </w:rPr>
            </w:pPr>
            <w:r>
              <w:rPr>
                <w:rFonts w:hint="eastAsia" w:ascii="仿宋" w:hAnsi="仿宋" w:eastAsia="仿宋" w:cs="仿宋"/>
                <w:sz w:val="24"/>
                <w:szCs w:val="24"/>
              </w:rPr>
              <w:t>评审结果将在询比公告发布网站进行公示。</w:t>
            </w:r>
          </w:p>
        </w:tc>
      </w:tr>
      <w:tr w14:paraId="7CDE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7" w:type="dxa"/>
            <w:vAlign w:val="center"/>
          </w:tcPr>
          <w:p w14:paraId="4BD9BD66">
            <w:pPr>
              <w:ind w:firstLine="0" w:firstLineChars="0"/>
              <w:jc w:val="center"/>
              <w:rPr>
                <w:rFonts w:ascii="仿宋" w:hAnsi="仿宋" w:eastAsia="仿宋" w:cs="仿宋"/>
                <w:sz w:val="24"/>
                <w:szCs w:val="24"/>
              </w:rPr>
            </w:pPr>
            <w:r>
              <w:rPr>
                <w:rFonts w:hint="eastAsia" w:ascii="仿宋" w:hAnsi="仿宋" w:eastAsia="仿宋" w:cs="仿宋"/>
                <w:sz w:val="24"/>
                <w:szCs w:val="24"/>
              </w:rPr>
              <w:t>20</w:t>
            </w:r>
          </w:p>
        </w:tc>
        <w:tc>
          <w:tcPr>
            <w:tcW w:w="2035" w:type="dxa"/>
            <w:vAlign w:val="center"/>
          </w:tcPr>
          <w:p w14:paraId="7B43CEBD">
            <w:pPr>
              <w:ind w:firstLine="0" w:firstLineChars="0"/>
              <w:jc w:val="center"/>
              <w:rPr>
                <w:rFonts w:ascii="仿宋" w:hAnsi="仿宋" w:eastAsia="仿宋" w:cs="仿宋"/>
                <w:sz w:val="24"/>
                <w:szCs w:val="24"/>
              </w:rPr>
            </w:pPr>
            <w:r>
              <w:rPr>
                <w:rFonts w:hint="eastAsia" w:ascii="仿宋" w:hAnsi="仿宋" w:eastAsia="仿宋" w:cs="仿宋"/>
                <w:sz w:val="24"/>
                <w:szCs w:val="24"/>
              </w:rPr>
              <w:t>踏勘</w:t>
            </w:r>
          </w:p>
        </w:tc>
        <w:tc>
          <w:tcPr>
            <w:tcW w:w="7227" w:type="dxa"/>
            <w:vAlign w:val="center"/>
          </w:tcPr>
          <w:p w14:paraId="22E66C86">
            <w:pPr>
              <w:ind w:firstLineChars="0"/>
              <w:rPr>
                <w:rFonts w:ascii="仿宋" w:hAnsi="仿宋" w:eastAsia="仿宋" w:cs="仿宋"/>
                <w:sz w:val="24"/>
                <w:szCs w:val="24"/>
              </w:rPr>
            </w:pPr>
            <w:r>
              <w:rPr>
                <w:rFonts w:hint="eastAsia" w:ascii="仿宋" w:hAnsi="仿宋" w:eastAsia="仿宋" w:cs="仿宋"/>
                <w:sz w:val="24"/>
                <w:szCs w:val="24"/>
              </w:rPr>
              <w:t>/</w:t>
            </w:r>
          </w:p>
        </w:tc>
      </w:tr>
      <w:tr w14:paraId="199D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67" w:type="dxa"/>
            <w:vAlign w:val="center"/>
          </w:tcPr>
          <w:p w14:paraId="6CB9BF8C">
            <w:pPr>
              <w:ind w:firstLine="0" w:firstLineChars="0"/>
              <w:jc w:val="center"/>
              <w:rPr>
                <w:rFonts w:ascii="仿宋" w:hAnsi="仿宋" w:eastAsia="仿宋" w:cs="仿宋"/>
                <w:sz w:val="24"/>
                <w:szCs w:val="24"/>
              </w:rPr>
            </w:pPr>
            <w:r>
              <w:rPr>
                <w:rFonts w:hint="eastAsia" w:ascii="仿宋" w:hAnsi="仿宋" w:eastAsia="仿宋" w:cs="仿宋"/>
                <w:sz w:val="24"/>
                <w:szCs w:val="24"/>
              </w:rPr>
              <w:t>21</w:t>
            </w:r>
          </w:p>
        </w:tc>
        <w:tc>
          <w:tcPr>
            <w:tcW w:w="2035" w:type="dxa"/>
            <w:vAlign w:val="center"/>
          </w:tcPr>
          <w:p w14:paraId="2CF63C7F">
            <w:pPr>
              <w:ind w:firstLine="0" w:firstLineChars="0"/>
              <w:jc w:val="center"/>
              <w:rPr>
                <w:rFonts w:ascii="仿宋" w:hAnsi="仿宋" w:eastAsia="仿宋" w:cs="仿宋"/>
                <w:sz w:val="24"/>
                <w:szCs w:val="24"/>
              </w:rPr>
            </w:pPr>
            <w:r>
              <w:rPr>
                <w:rFonts w:hint="eastAsia" w:ascii="仿宋" w:hAnsi="仿宋" w:eastAsia="仿宋" w:cs="仿宋"/>
                <w:sz w:val="24"/>
                <w:szCs w:val="24"/>
              </w:rPr>
              <w:t>合同签订</w:t>
            </w:r>
          </w:p>
        </w:tc>
        <w:tc>
          <w:tcPr>
            <w:tcW w:w="7227" w:type="dxa"/>
            <w:vAlign w:val="center"/>
          </w:tcPr>
          <w:p w14:paraId="7D7B977E">
            <w:pPr>
              <w:ind w:firstLine="480"/>
              <w:rPr>
                <w:rFonts w:ascii="仿宋" w:hAnsi="仿宋" w:eastAsia="仿宋" w:cs="仿宋"/>
                <w:sz w:val="24"/>
                <w:szCs w:val="24"/>
              </w:rPr>
            </w:pPr>
            <w:r>
              <w:rPr>
                <w:rFonts w:hint="eastAsia" w:ascii="仿宋" w:hAnsi="仿宋" w:eastAsia="仿宋" w:cs="仿宋"/>
                <w:sz w:val="24"/>
                <w:szCs w:val="24"/>
              </w:rPr>
              <w:t>1.成交供应商应在收到成交通知书之日起15个工作日内，主动联系采购人商定合同签订事宜，并按照指定的时间、地点与采购人签订合同。采购人根据实际情况可以对成交供应商进行考察核实，如发现其有弄虚作假、围标串标等现象可以取消其成交资格。</w:t>
            </w:r>
          </w:p>
          <w:p w14:paraId="096FC84B">
            <w:pPr>
              <w:ind w:firstLine="480"/>
              <w:rPr>
                <w:rFonts w:ascii="仿宋" w:hAnsi="仿宋" w:eastAsia="仿宋" w:cs="仿宋"/>
                <w:sz w:val="24"/>
                <w:szCs w:val="24"/>
              </w:rPr>
            </w:pPr>
            <w:r>
              <w:rPr>
                <w:rFonts w:hint="eastAsia" w:ascii="仿宋" w:hAnsi="仿宋" w:eastAsia="仿宋" w:cs="仿宋"/>
                <w:sz w:val="24"/>
                <w:szCs w:val="24"/>
              </w:rPr>
              <w:t>2.“询比文件”、成交供应商的“响应文件”及其澄清文件等，均为签订合同的依据。</w:t>
            </w:r>
          </w:p>
          <w:p w14:paraId="2063A11E">
            <w:pPr>
              <w:ind w:firstLine="480"/>
              <w:rPr>
                <w:rFonts w:ascii="仿宋" w:hAnsi="仿宋" w:eastAsia="仿宋" w:cs="仿宋"/>
                <w:sz w:val="24"/>
                <w:szCs w:val="24"/>
              </w:rPr>
            </w:pPr>
            <w:r>
              <w:rPr>
                <w:rFonts w:hint="eastAsia" w:ascii="仿宋" w:hAnsi="仿宋" w:eastAsia="仿宋" w:cs="仿宋"/>
                <w:sz w:val="24"/>
                <w:szCs w:val="24"/>
              </w:rPr>
              <w:t>3.成交供应商如未能按询比文件要求，在规定限期内签订合同，除不可抗力和采购人原因外，无论何种原因采购人将取消其成交资格、撤销其成交通知书，并另选择成交者或重新询比。</w:t>
            </w:r>
          </w:p>
          <w:p w14:paraId="2928B465">
            <w:pPr>
              <w:ind w:firstLine="480"/>
              <w:rPr>
                <w:rFonts w:ascii="仿宋" w:hAnsi="仿宋" w:eastAsia="仿宋" w:cs="仿宋"/>
                <w:sz w:val="24"/>
                <w:szCs w:val="24"/>
              </w:rPr>
            </w:pPr>
            <w:r>
              <w:rPr>
                <w:rFonts w:hint="eastAsia" w:ascii="仿宋" w:hAnsi="仿宋" w:eastAsia="仿宋" w:cs="仿宋"/>
                <w:sz w:val="24"/>
                <w:szCs w:val="24"/>
              </w:rPr>
              <w:t>4.在合同执行过程中，如成交供应商出现违规、违约行为，采购人有权终止合同并依序与其他成交候选供应商商议签订合同事宜或重新组织询比。</w:t>
            </w:r>
          </w:p>
        </w:tc>
      </w:tr>
      <w:tr w14:paraId="5ED4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67" w:type="dxa"/>
            <w:vAlign w:val="center"/>
          </w:tcPr>
          <w:p w14:paraId="454DD5EC">
            <w:pPr>
              <w:ind w:firstLine="0" w:firstLineChars="0"/>
              <w:jc w:val="center"/>
              <w:rPr>
                <w:rFonts w:ascii="仿宋" w:hAnsi="仿宋" w:eastAsia="仿宋" w:cs="仿宋"/>
                <w:sz w:val="24"/>
                <w:szCs w:val="24"/>
              </w:rPr>
            </w:pPr>
            <w:r>
              <w:rPr>
                <w:rFonts w:hint="eastAsia" w:ascii="仿宋" w:hAnsi="仿宋" w:eastAsia="仿宋" w:cs="仿宋"/>
                <w:sz w:val="24"/>
                <w:szCs w:val="24"/>
              </w:rPr>
              <w:t>22</w:t>
            </w:r>
          </w:p>
        </w:tc>
        <w:tc>
          <w:tcPr>
            <w:tcW w:w="2035" w:type="dxa"/>
            <w:vAlign w:val="center"/>
          </w:tcPr>
          <w:p w14:paraId="5614A60F">
            <w:pPr>
              <w:ind w:firstLine="0" w:firstLineChars="0"/>
              <w:jc w:val="center"/>
              <w:rPr>
                <w:rFonts w:ascii="仿宋" w:hAnsi="仿宋" w:eastAsia="仿宋" w:cs="仿宋"/>
                <w:sz w:val="24"/>
                <w:szCs w:val="24"/>
              </w:rPr>
            </w:pPr>
            <w:r>
              <w:rPr>
                <w:rFonts w:hint="eastAsia" w:ascii="仿宋" w:hAnsi="仿宋" w:eastAsia="仿宋" w:cs="仿宋"/>
                <w:sz w:val="24"/>
                <w:szCs w:val="24"/>
              </w:rPr>
              <w:t>异议及投诉</w:t>
            </w:r>
          </w:p>
        </w:tc>
        <w:tc>
          <w:tcPr>
            <w:tcW w:w="7227" w:type="dxa"/>
            <w:vAlign w:val="center"/>
          </w:tcPr>
          <w:p w14:paraId="713379CB">
            <w:pPr>
              <w:ind w:firstLine="480"/>
              <w:rPr>
                <w:rFonts w:ascii="仿宋" w:hAnsi="仿宋" w:eastAsia="仿宋" w:cs="仿宋"/>
                <w:sz w:val="24"/>
                <w:szCs w:val="24"/>
              </w:rPr>
            </w:pPr>
            <w:r>
              <w:rPr>
                <w:rFonts w:hint="eastAsia" w:ascii="仿宋" w:hAnsi="仿宋" w:eastAsia="仿宋" w:cs="仿宋"/>
                <w:sz w:val="24"/>
                <w:szCs w:val="24"/>
              </w:rPr>
              <w:t>详见询比供应商须知正文。</w:t>
            </w:r>
          </w:p>
        </w:tc>
      </w:tr>
      <w:tr w14:paraId="6336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67" w:type="dxa"/>
            <w:vAlign w:val="center"/>
          </w:tcPr>
          <w:p w14:paraId="1298730C">
            <w:pPr>
              <w:ind w:firstLine="0" w:firstLineChars="0"/>
              <w:jc w:val="center"/>
              <w:rPr>
                <w:rFonts w:ascii="仿宋" w:hAnsi="仿宋" w:eastAsia="仿宋" w:cs="仿宋"/>
                <w:sz w:val="24"/>
                <w:szCs w:val="24"/>
              </w:rPr>
            </w:pPr>
            <w:r>
              <w:rPr>
                <w:rFonts w:hint="eastAsia" w:ascii="仿宋" w:hAnsi="仿宋" w:eastAsia="仿宋" w:cs="仿宋"/>
                <w:sz w:val="24"/>
                <w:szCs w:val="24"/>
              </w:rPr>
              <w:t>23</w:t>
            </w:r>
          </w:p>
        </w:tc>
        <w:tc>
          <w:tcPr>
            <w:tcW w:w="2035" w:type="dxa"/>
            <w:vAlign w:val="center"/>
          </w:tcPr>
          <w:p w14:paraId="7D8251FF">
            <w:pPr>
              <w:ind w:firstLine="0" w:firstLineChars="0"/>
              <w:jc w:val="center"/>
              <w:rPr>
                <w:rFonts w:ascii="仿宋" w:hAnsi="仿宋" w:eastAsia="仿宋" w:cs="仿宋"/>
                <w:sz w:val="24"/>
                <w:szCs w:val="24"/>
              </w:rPr>
            </w:pPr>
            <w:r>
              <w:rPr>
                <w:rFonts w:hint="eastAsia" w:ascii="仿宋" w:hAnsi="仿宋" w:eastAsia="仿宋" w:cs="仿宋"/>
                <w:bCs/>
                <w:sz w:val="24"/>
                <w:szCs w:val="24"/>
              </w:rPr>
              <w:t>其 他</w:t>
            </w:r>
          </w:p>
        </w:tc>
        <w:tc>
          <w:tcPr>
            <w:tcW w:w="7227" w:type="dxa"/>
            <w:vAlign w:val="center"/>
          </w:tcPr>
          <w:p w14:paraId="0B909E26">
            <w:pPr>
              <w:ind w:firstLine="480"/>
              <w:rPr>
                <w:rFonts w:ascii="仿宋" w:hAnsi="仿宋" w:eastAsia="仿宋" w:cs="仿宋"/>
                <w:sz w:val="24"/>
                <w:szCs w:val="24"/>
              </w:rPr>
            </w:pPr>
            <w:r>
              <w:rPr>
                <w:rFonts w:hint="eastAsia" w:ascii="仿宋" w:hAnsi="仿宋" w:eastAsia="仿宋" w:cs="仿宋"/>
                <w:sz w:val="24"/>
                <w:szCs w:val="24"/>
              </w:rPr>
              <w:t>1、成交供应商不能减少或降低采购人所拟定的工作内容、工作量和服务质量。</w:t>
            </w:r>
          </w:p>
          <w:p w14:paraId="460FCAAE">
            <w:pPr>
              <w:ind w:firstLine="480"/>
              <w:rPr>
                <w:rFonts w:ascii="仿宋" w:hAnsi="仿宋" w:eastAsia="仿宋" w:cs="仿宋"/>
                <w:sz w:val="24"/>
                <w:szCs w:val="24"/>
              </w:rPr>
            </w:pPr>
            <w:r>
              <w:rPr>
                <w:rFonts w:hint="eastAsia" w:ascii="仿宋" w:hAnsi="仿宋" w:eastAsia="仿宋" w:cs="仿宋"/>
                <w:sz w:val="24"/>
                <w:szCs w:val="24"/>
              </w:rPr>
              <w:t>2、如供应商须知前附表内容与供应商须知正文部分内容不一致时，以供应商须知前附表内容为准。</w:t>
            </w:r>
          </w:p>
          <w:p w14:paraId="66DF5BDC">
            <w:pPr>
              <w:ind w:firstLine="480"/>
              <w:rPr>
                <w:rFonts w:ascii="仿宋" w:hAnsi="仿宋" w:eastAsia="仿宋" w:cs="仿宋"/>
                <w:sz w:val="24"/>
                <w:szCs w:val="24"/>
              </w:rPr>
            </w:pPr>
            <w:r>
              <w:rPr>
                <w:rFonts w:hint="eastAsia" w:ascii="仿宋" w:hAnsi="仿宋" w:eastAsia="仿宋" w:cs="仿宋"/>
                <w:sz w:val="24"/>
                <w:szCs w:val="24"/>
              </w:rPr>
              <w:t>3、无论询比过程和结果如何，供应商自行承担与询比有关的全部费用。</w:t>
            </w:r>
          </w:p>
          <w:p w14:paraId="21D40148">
            <w:pPr>
              <w:ind w:firstLine="480"/>
              <w:rPr>
                <w:rFonts w:ascii="仿宋" w:hAnsi="仿宋" w:eastAsia="仿宋" w:cs="仿宋"/>
                <w:b/>
                <w:bCs/>
                <w:sz w:val="24"/>
                <w:szCs w:val="24"/>
              </w:rPr>
            </w:pPr>
            <w:r>
              <w:rPr>
                <w:rFonts w:hint="eastAsia" w:ascii="仿宋" w:hAnsi="仿宋" w:eastAsia="仿宋" w:cs="仿宋"/>
                <w:sz w:val="24"/>
                <w:szCs w:val="24"/>
              </w:rPr>
              <w:t>4、</w:t>
            </w:r>
            <w:r>
              <w:rPr>
                <w:rFonts w:hint="eastAsia" w:ascii="仿宋" w:hAnsi="仿宋" w:eastAsia="仿宋" w:cs="仿宋"/>
                <w:b/>
                <w:bCs/>
                <w:sz w:val="24"/>
                <w:szCs w:val="24"/>
              </w:rPr>
              <w:t>供应商须承诺：提供（或响应）本项目的电子设备无二手、退货等残次产品；供应商提供承诺，格式自拟，并加盖供应商单位公章（鲜章或电子印章），未提供的询比评审小组可否定其响应文件。</w:t>
            </w:r>
          </w:p>
          <w:p w14:paraId="5D41F262">
            <w:pPr>
              <w:ind w:firstLine="480"/>
              <w:rPr>
                <w:rFonts w:ascii="仿宋" w:hAnsi="仿宋" w:eastAsia="仿宋" w:cs="仿宋"/>
                <w:sz w:val="24"/>
                <w:szCs w:val="24"/>
              </w:rPr>
            </w:pPr>
            <w:r>
              <w:rPr>
                <w:rFonts w:hint="eastAsia" w:ascii="仿宋" w:hAnsi="仿宋" w:eastAsia="仿宋" w:cs="仿宋"/>
                <w:sz w:val="24"/>
                <w:szCs w:val="24"/>
              </w:rPr>
              <w:t>5、出现以下情形之一时，本项目将终止询比：</w:t>
            </w:r>
          </w:p>
          <w:p w14:paraId="45FC8187">
            <w:pPr>
              <w:ind w:firstLine="480"/>
              <w:rPr>
                <w:rFonts w:ascii="仿宋" w:hAnsi="仿宋" w:eastAsia="仿宋" w:cs="仿宋"/>
                <w:sz w:val="24"/>
                <w:szCs w:val="24"/>
              </w:rPr>
            </w:pPr>
            <w:r>
              <w:rPr>
                <w:rFonts w:hint="eastAsia" w:ascii="仿宋" w:hAnsi="仿宋" w:eastAsia="仿宋" w:cs="仿宋"/>
                <w:sz w:val="24"/>
                <w:szCs w:val="24"/>
              </w:rPr>
              <w:t>1.响应文件递交截止时间止，供应商少于3家的；</w:t>
            </w:r>
          </w:p>
          <w:p w14:paraId="0301EF6A">
            <w:pPr>
              <w:ind w:firstLine="480"/>
              <w:rPr>
                <w:rFonts w:ascii="仿宋" w:hAnsi="仿宋" w:eastAsia="仿宋" w:cs="仿宋"/>
                <w:sz w:val="24"/>
                <w:szCs w:val="24"/>
              </w:rPr>
            </w:pPr>
            <w:r>
              <w:rPr>
                <w:rFonts w:hint="eastAsia" w:ascii="仿宋" w:hAnsi="仿宋" w:eastAsia="仿宋" w:cs="仿宋"/>
                <w:sz w:val="24"/>
                <w:szCs w:val="24"/>
              </w:rPr>
              <w:t>2.经询比评审小组评审后否决所有询比的；</w:t>
            </w:r>
          </w:p>
          <w:p w14:paraId="7C4A610A">
            <w:pPr>
              <w:ind w:firstLine="480"/>
              <w:rPr>
                <w:rFonts w:ascii="仿宋" w:hAnsi="仿宋" w:eastAsia="仿宋" w:cs="仿宋"/>
                <w:sz w:val="24"/>
                <w:szCs w:val="24"/>
              </w:rPr>
            </w:pPr>
            <w:r>
              <w:rPr>
                <w:rFonts w:hint="eastAsia" w:ascii="仿宋" w:hAnsi="仿宋" w:eastAsia="仿宋" w:cs="仿宋"/>
                <w:sz w:val="24"/>
                <w:szCs w:val="24"/>
              </w:rPr>
              <w:t>3.法律、法规规定的应当重新询比的其他情形。</w:t>
            </w:r>
          </w:p>
          <w:p w14:paraId="4C79AAEE">
            <w:pPr>
              <w:ind w:firstLine="480"/>
              <w:rPr>
                <w:rFonts w:ascii="仿宋" w:hAnsi="仿宋" w:eastAsia="仿宋" w:cs="仿宋"/>
                <w:sz w:val="24"/>
                <w:szCs w:val="24"/>
              </w:rPr>
            </w:pPr>
            <w:r>
              <w:rPr>
                <w:rFonts w:ascii="仿宋" w:hAnsi="仿宋" w:eastAsia="仿宋" w:cs="仿宋"/>
                <w:sz w:val="24"/>
                <w:szCs w:val="24"/>
              </w:rPr>
              <w:t>注：为保障项目使用需求，通过初步审查的有效供应商不足3家时，按下列方式进行处理：</w:t>
            </w:r>
          </w:p>
          <w:p w14:paraId="729F4566">
            <w:pPr>
              <w:ind w:firstLine="480"/>
            </w:pPr>
            <w:r>
              <w:rPr>
                <w:rFonts w:ascii="仿宋" w:hAnsi="仿宋" w:eastAsia="仿宋" w:cs="仿宋"/>
                <w:sz w:val="24"/>
                <w:szCs w:val="24"/>
              </w:rPr>
              <w:t>若通过初步审查的有效供应商为2家时，且询比评审小组认为供应商具备竞争性的，按照询比文件规定要求继续进行询比。</w:t>
            </w:r>
          </w:p>
        </w:tc>
      </w:tr>
      <w:tr w14:paraId="7EC8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4EFA1CB">
            <w:pPr>
              <w:ind w:firstLine="0" w:firstLineChars="0"/>
              <w:jc w:val="center"/>
              <w:rPr>
                <w:rFonts w:ascii="仿宋" w:hAnsi="仿宋" w:eastAsia="仿宋" w:cs="仿宋"/>
                <w:sz w:val="24"/>
                <w:szCs w:val="24"/>
              </w:rPr>
            </w:pPr>
            <w:r>
              <w:rPr>
                <w:rFonts w:hint="eastAsia" w:ascii="仿宋" w:hAnsi="仿宋" w:eastAsia="仿宋" w:cs="仿宋"/>
                <w:sz w:val="24"/>
                <w:szCs w:val="24"/>
              </w:rPr>
              <w:t>24</w:t>
            </w:r>
          </w:p>
        </w:tc>
        <w:tc>
          <w:tcPr>
            <w:tcW w:w="9262" w:type="dxa"/>
            <w:gridSpan w:val="2"/>
            <w:tcBorders>
              <w:top w:val="single" w:color="auto" w:sz="4" w:space="0"/>
              <w:left w:val="single" w:color="auto" w:sz="4" w:space="0"/>
              <w:bottom w:val="single" w:color="auto" w:sz="4" w:space="0"/>
              <w:right w:val="single" w:color="auto" w:sz="4" w:space="0"/>
            </w:tcBorders>
            <w:vAlign w:val="center"/>
          </w:tcPr>
          <w:p w14:paraId="681EC069">
            <w:pPr>
              <w:ind w:firstLine="480"/>
              <w:rPr>
                <w:rFonts w:ascii="仿宋" w:hAnsi="仿宋" w:eastAsia="仿宋" w:cs="仿宋"/>
                <w:sz w:val="24"/>
                <w:szCs w:val="24"/>
              </w:rPr>
            </w:pPr>
            <w:r>
              <w:rPr>
                <w:rFonts w:hint="eastAsia" w:ascii="仿宋" w:hAnsi="仿宋" w:eastAsia="仿宋" w:cs="仿宋"/>
                <w:sz w:val="24"/>
                <w:szCs w:val="24"/>
              </w:rPr>
              <w:t>供应商所提供资料必须真实，如一经核实有弄虚作假情况的，取消成交资格。情节严重的上报行政主管部门或公安机关。若导致采购人有经济损失的，还应承担相关的经济法律责任。</w:t>
            </w:r>
          </w:p>
        </w:tc>
      </w:tr>
      <w:tr w14:paraId="6F43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99413D1">
            <w:pPr>
              <w:ind w:firstLine="0" w:firstLineChars="0"/>
              <w:jc w:val="center"/>
              <w:rPr>
                <w:rFonts w:ascii="仿宋" w:hAnsi="仿宋" w:eastAsia="仿宋" w:cs="仿宋"/>
                <w:sz w:val="24"/>
                <w:szCs w:val="24"/>
              </w:rPr>
            </w:pPr>
            <w:r>
              <w:rPr>
                <w:rFonts w:hint="eastAsia" w:ascii="仿宋" w:hAnsi="仿宋" w:eastAsia="仿宋" w:cs="仿宋"/>
                <w:sz w:val="24"/>
                <w:szCs w:val="24"/>
              </w:rPr>
              <w:t>25</w:t>
            </w:r>
          </w:p>
        </w:tc>
        <w:tc>
          <w:tcPr>
            <w:tcW w:w="9262" w:type="dxa"/>
            <w:gridSpan w:val="2"/>
            <w:tcBorders>
              <w:top w:val="single" w:color="auto" w:sz="4" w:space="0"/>
              <w:left w:val="single" w:color="auto" w:sz="4" w:space="0"/>
              <w:bottom w:val="single" w:color="auto" w:sz="4" w:space="0"/>
              <w:right w:val="single" w:color="auto" w:sz="4" w:space="0"/>
            </w:tcBorders>
            <w:vAlign w:val="center"/>
          </w:tcPr>
          <w:p w14:paraId="70C922A6">
            <w:pPr>
              <w:ind w:firstLine="482"/>
              <w:jc w:val="both"/>
              <w:rPr>
                <w:rFonts w:ascii="仿宋" w:hAnsi="仿宋" w:eastAsia="仿宋" w:cs="仿宋"/>
                <w:b/>
                <w:bCs/>
                <w:sz w:val="24"/>
                <w:szCs w:val="24"/>
              </w:rPr>
            </w:pPr>
            <w:r>
              <w:rPr>
                <w:rFonts w:hint="eastAsia" w:ascii="仿宋" w:hAnsi="仿宋" w:eastAsia="仿宋" w:cs="仿宋"/>
                <w:b/>
                <w:bCs/>
                <w:sz w:val="24"/>
                <w:szCs w:val="24"/>
              </w:rPr>
              <w:t>供应商须承诺完全响应询比文件“第三部分 采购内容及要求”所有要求。（供应商自行承诺，格式自拟并加盖供应商公章，未提供承诺的视为无效响应）。</w:t>
            </w:r>
          </w:p>
        </w:tc>
      </w:tr>
      <w:tr w14:paraId="0F4B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D1AADBB">
            <w:pPr>
              <w:ind w:firstLine="0" w:firstLineChars="0"/>
              <w:jc w:val="center"/>
              <w:rPr>
                <w:rFonts w:ascii="仿宋" w:hAnsi="仿宋" w:eastAsia="仿宋" w:cs="仿宋"/>
                <w:sz w:val="24"/>
                <w:szCs w:val="24"/>
              </w:rPr>
            </w:pPr>
            <w:r>
              <w:rPr>
                <w:rFonts w:hint="eastAsia" w:ascii="仿宋" w:hAnsi="仿宋" w:eastAsia="仿宋" w:cs="仿宋"/>
                <w:sz w:val="24"/>
                <w:szCs w:val="24"/>
              </w:rPr>
              <w:t>26</w:t>
            </w:r>
          </w:p>
        </w:tc>
        <w:tc>
          <w:tcPr>
            <w:tcW w:w="9262" w:type="dxa"/>
            <w:gridSpan w:val="2"/>
            <w:tcBorders>
              <w:top w:val="single" w:color="auto" w:sz="4" w:space="0"/>
              <w:left w:val="single" w:color="auto" w:sz="4" w:space="0"/>
              <w:bottom w:val="single" w:color="auto" w:sz="4" w:space="0"/>
              <w:right w:val="single" w:color="auto" w:sz="4" w:space="0"/>
            </w:tcBorders>
            <w:vAlign w:val="center"/>
          </w:tcPr>
          <w:p w14:paraId="0387E43C">
            <w:pPr>
              <w:pStyle w:val="4"/>
              <w:ind w:firstLine="482"/>
              <w:jc w:val="both"/>
              <w:rPr>
                <w:rFonts w:ascii="仿宋" w:hAnsi="仿宋" w:eastAsia="仿宋" w:cs="仿宋"/>
                <w:bCs/>
                <w:sz w:val="24"/>
                <w:szCs w:val="24"/>
              </w:rPr>
            </w:pPr>
            <w:bookmarkStart w:id="37" w:name="_Toc24690"/>
            <w:r>
              <w:rPr>
                <w:rFonts w:hint="eastAsia" w:ascii="仿宋" w:hAnsi="仿宋" w:eastAsia="仿宋" w:cs="仿宋"/>
                <w:bCs/>
                <w:sz w:val="24"/>
                <w:szCs w:val="24"/>
              </w:rPr>
              <w:t>本表是对询比供应商须知的具体补充和修改，两者如有矛盾，应以本表为准。</w:t>
            </w:r>
            <w:bookmarkEnd w:id="37"/>
          </w:p>
        </w:tc>
      </w:tr>
      <w:tr w14:paraId="30E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01396CA">
            <w:pPr>
              <w:ind w:firstLine="0" w:firstLineChars="0"/>
              <w:jc w:val="center"/>
              <w:rPr>
                <w:rFonts w:ascii="仿宋" w:hAnsi="仿宋" w:eastAsia="仿宋" w:cs="仿宋"/>
                <w:sz w:val="24"/>
                <w:szCs w:val="24"/>
              </w:rPr>
            </w:pPr>
            <w:r>
              <w:rPr>
                <w:rFonts w:hint="eastAsia" w:ascii="仿宋" w:hAnsi="仿宋" w:eastAsia="仿宋" w:cs="仿宋"/>
                <w:sz w:val="24"/>
                <w:szCs w:val="24"/>
              </w:rPr>
              <w:t>27</w:t>
            </w:r>
          </w:p>
        </w:tc>
        <w:tc>
          <w:tcPr>
            <w:tcW w:w="9262" w:type="dxa"/>
            <w:gridSpan w:val="2"/>
            <w:tcBorders>
              <w:top w:val="single" w:color="auto" w:sz="4" w:space="0"/>
              <w:left w:val="single" w:color="auto" w:sz="4" w:space="0"/>
              <w:bottom w:val="single" w:color="auto" w:sz="4" w:space="0"/>
              <w:right w:val="single" w:color="auto" w:sz="4" w:space="0"/>
            </w:tcBorders>
            <w:vAlign w:val="center"/>
          </w:tcPr>
          <w:p w14:paraId="6A8CA6F6">
            <w:pPr>
              <w:pStyle w:val="4"/>
              <w:ind w:firstLine="480"/>
              <w:jc w:val="both"/>
              <w:rPr>
                <w:rFonts w:ascii="仿宋" w:hAnsi="仿宋" w:eastAsia="仿宋" w:cs="仿宋"/>
                <w:bCs/>
                <w:sz w:val="24"/>
                <w:szCs w:val="24"/>
              </w:rPr>
            </w:pPr>
            <w:r>
              <w:rPr>
                <w:rFonts w:hint="eastAsia" w:ascii="仿宋" w:hAnsi="仿宋" w:eastAsia="仿宋" w:cs="仿宋"/>
                <w:b w:val="0"/>
                <w:sz w:val="24"/>
                <w:szCs w:val="24"/>
              </w:rPr>
              <w:t>本询比文件解释权归采购人所有，供应商响应本次询比的，视为接受本询比文件约束并认可采购人所享有的权利。</w:t>
            </w:r>
          </w:p>
        </w:tc>
      </w:tr>
    </w:tbl>
    <w:p w14:paraId="3897D96A">
      <w:pPr>
        <w:pStyle w:val="84"/>
        <w:spacing w:line="240" w:lineRule="auto"/>
        <w:ind w:firstLine="0" w:firstLineChars="0"/>
        <w:jc w:val="center"/>
        <w:rPr>
          <w:rFonts w:ascii="仿宋" w:hAnsi="仿宋" w:eastAsia="仿宋" w:cs="仿宋"/>
          <w:b/>
          <w:sz w:val="30"/>
          <w:szCs w:val="30"/>
        </w:rPr>
      </w:pPr>
      <w:r>
        <w:rPr>
          <w:rFonts w:hint="eastAsia" w:ascii="仿宋" w:hAnsi="仿宋" w:eastAsia="仿宋" w:cs="仿宋"/>
          <w:b/>
          <w:szCs w:val="24"/>
        </w:rPr>
        <w:br w:type="page"/>
      </w:r>
      <w:bookmarkStart w:id="38" w:name="_Toc29893"/>
      <w:bookmarkStart w:id="39" w:name="_Toc3033"/>
      <w:bookmarkStart w:id="40" w:name="_Toc29177"/>
      <w:bookmarkStart w:id="41" w:name="_Toc21272"/>
      <w:bookmarkStart w:id="42" w:name="_Toc23809"/>
      <w:bookmarkStart w:id="43" w:name="_Toc17359"/>
      <w:bookmarkStart w:id="44" w:name="第四部分"/>
      <w:r>
        <w:rPr>
          <w:rFonts w:hint="eastAsia" w:ascii="仿宋" w:hAnsi="仿宋" w:eastAsia="仿宋" w:cs="仿宋"/>
          <w:b/>
          <w:sz w:val="30"/>
          <w:szCs w:val="30"/>
        </w:rPr>
        <w:t>询比供应商须知正文</w:t>
      </w:r>
      <w:bookmarkEnd w:id="38"/>
      <w:bookmarkEnd w:id="39"/>
      <w:bookmarkEnd w:id="40"/>
      <w:bookmarkEnd w:id="41"/>
      <w:bookmarkEnd w:id="42"/>
      <w:bookmarkEnd w:id="43"/>
    </w:p>
    <w:p w14:paraId="347C9013">
      <w:pPr>
        <w:ind w:firstLine="480"/>
        <w:outlineLvl w:val="1"/>
        <w:rPr>
          <w:rFonts w:ascii="仿宋" w:hAnsi="仿宋" w:eastAsia="仿宋" w:cs="仿宋"/>
          <w:sz w:val="24"/>
          <w:szCs w:val="24"/>
        </w:rPr>
      </w:pPr>
      <w:bookmarkStart w:id="45" w:name="_Toc19182"/>
      <w:bookmarkStart w:id="46" w:name="_Toc12926"/>
      <w:bookmarkStart w:id="47" w:name="_Toc7712"/>
      <w:bookmarkStart w:id="48" w:name="_Toc14796"/>
      <w:bookmarkStart w:id="49" w:name="_Toc6410"/>
    </w:p>
    <w:p w14:paraId="29AFF734">
      <w:pPr>
        <w:ind w:firstLine="562"/>
        <w:outlineLvl w:val="1"/>
        <w:rPr>
          <w:rFonts w:ascii="仿宋" w:hAnsi="仿宋" w:eastAsia="仿宋" w:cs="仿宋"/>
          <w:b/>
          <w:bCs/>
          <w:sz w:val="28"/>
          <w:szCs w:val="28"/>
        </w:rPr>
      </w:pPr>
      <w:r>
        <w:rPr>
          <w:rFonts w:hint="eastAsia" w:ascii="仿宋" w:hAnsi="仿宋" w:eastAsia="仿宋" w:cs="仿宋"/>
          <w:b/>
          <w:bCs/>
          <w:sz w:val="28"/>
          <w:szCs w:val="28"/>
        </w:rPr>
        <w:t>综合说明</w:t>
      </w:r>
      <w:bookmarkEnd w:id="45"/>
    </w:p>
    <w:p w14:paraId="5EAB589C">
      <w:pPr>
        <w:ind w:firstLine="480"/>
        <w:outlineLvl w:val="2"/>
        <w:rPr>
          <w:rFonts w:ascii="仿宋" w:hAnsi="仿宋" w:eastAsia="仿宋" w:cs="仿宋"/>
          <w:sz w:val="24"/>
          <w:szCs w:val="24"/>
        </w:rPr>
      </w:pPr>
      <w:bookmarkStart w:id="50" w:name="_Toc14369"/>
      <w:r>
        <w:rPr>
          <w:rFonts w:hint="eastAsia" w:ascii="仿宋" w:hAnsi="仿宋" w:eastAsia="仿宋" w:cs="仿宋"/>
          <w:sz w:val="24"/>
          <w:szCs w:val="24"/>
        </w:rPr>
        <w:t>1.适用范围：本询比文件仅适用于本项目。</w:t>
      </w:r>
      <w:bookmarkEnd w:id="50"/>
    </w:p>
    <w:p w14:paraId="6E7346E4">
      <w:pPr>
        <w:ind w:firstLine="480"/>
        <w:rPr>
          <w:rFonts w:ascii="仿宋" w:hAnsi="仿宋" w:eastAsia="仿宋" w:cs="仿宋"/>
          <w:sz w:val="24"/>
          <w:szCs w:val="24"/>
        </w:rPr>
      </w:pPr>
      <w:r>
        <w:rPr>
          <w:rFonts w:hint="eastAsia" w:ascii="仿宋" w:hAnsi="仿宋" w:eastAsia="仿宋" w:cs="仿宋"/>
          <w:sz w:val="24"/>
          <w:szCs w:val="24"/>
        </w:rPr>
        <w:t>1.1项目概况：根据相关规定，本询比项目已具备询比条件，现对本项目进行询比；</w:t>
      </w:r>
    </w:p>
    <w:p w14:paraId="57737A15">
      <w:pPr>
        <w:ind w:firstLine="480"/>
        <w:outlineLvl w:val="3"/>
        <w:rPr>
          <w:rFonts w:ascii="仿宋" w:hAnsi="仿宋" w:eastAsia="仿宋" w:cs="仿宋"/>
          <w:sz w:val="24"/>
          <w:szCs w:val="24"/>
        </w:rPr>
      </w:pPr>
      <w:r>
        <w:rPr>
          <w:rFonts w:hint="eastAsia" w:ascii="仿宋" w:hAnsi="仿宋" w:eastAsia="仿宋" w:cs="仿宋"/>
          <w:sz w:val="24"/>
          <w:szCs w:val="24"/>
        </w:rPr>
        <w:t>1.2其它补充内容：详见询比供应商须知前附表。</w:t>
      </w:r>
    </w:p>
    <w:p w14:paraId="041F6F25">
      <w:pPr>
        <w:ind w:firstLine="480"/>
        <w:outlineLvl w:val="2"/>
        <w:rPr>
          <w:rFonts w:ascii="仿宋" w:hAnsi="仿宋" w:eastAsia="仿宋" w:cs="仿宋"/>
          <w:sz w:val="24"/>
          <w:szCs w:val="24"/>
        </w:rPr>
      </w:pPr>
      <w:bookmarkStart w:id="51" w:name="_Toc6664"/>
      <w:r>
        <w:rPr>
          <w:rFonts w:hint="eastAsia" w:ascii="仿宋" w:hAnsi="仿宋" w:eastAsia="仿宋" w:cs="仿宋"/>
          <w:sz w:val="24"/>
          <w:szCs w:val="24"/>
        </w:rPr>
        <w:t>2.定义：</w:t>
      </w:r>
      <w:bookmarkEnd w:id="51"/>
    </w:p>
    <w:p w14:paraId="44F7870D">
      <w:pPr>
        <w:ind w:firstLine="480"/>
        <w:rPr>
          <w:rFonts w:ascii="仿宋" w:hAnsi="仿宋" w:eastAsia="仿宋" w:cs="仿宋"/>
          <w:sz w:val="24"/>
          <w:szCs w:val="24"/>
        </w:rPr>
      </w:pPr>
      <w:r>
        <w:rPr>
          <w:rFonts w:hint="eastAsia" w:ascii="仿宋" w:hAnsi="仿宋" w:eastAsia="仿宋" w:cs="仿宋"/>
          <w:sz w:val="24"/>
          <w:szCs w:val="24"/>
        </w:rPr>
        <w:t>2.1“采购人”系指本询比文件所列内容需求的询比单位或采购人；</w:t>
      </w:r>
    </w:p>
    <w:p w14:paraId="6704E8CB">
      <w:pPr>
        <w:ind w:firstLine="480"/>
        <w:rPr>
          <w:rFonts w:ascii="仿宋" w:hAnsi="仿宋" w:eastAsia="仿宋" w:cs="仿宋"/>
          <w:sz w:val="24"/>
          <w:szCs w:val="24"/>
        </w:rPr>
      </w:pPr>
      <w:r>
        <w:rPr>
          <w:rFonts w:hint="eastAsia" w:ascii="仿宋" w:hAnsi="仿宋" w:eastAsia="仿宋" w:cs="仿宋"/>
          <w:sz w:val="24"/>
          <w:szCs w:val="24"/>
        </w:rPr>
        <w:t>2.2“采购内容”系指本询比文件中所述内容；</w:t>
      </w:r>
    </w:p>
    <w:p w14:paraId="4263A33D">
      <w:pPr>
        <w:ind w:firstLine="480"/>
        <w:outlineLvl w:val="3"/>
        <w:rPr>
          <w:rFonts w:ascii="仿宋" w:hAnsi="仿宋" w:eastAsia="仿宋" w:cs="仿宋"/>
          <w:sz w:val="24"/>
          <w:szCs w:val="24"/>
        </w:rPr>
      </w:pPr>
      <w:r>
        <w:rPr>
          <w:rFonts w:hint="eastAsia" w:ascii="仿宋" w:hAnsi="仿宋" w:eastAsia="仿宋" w:cs="仿宋"/>
          <w:sz w:val="24"/>
          <w:szCs w:val="24"/>
        </w:rPr>
        <w:t>2.3“供应商”系指获得询比文件并参加询比的询比申请单位；</w:t>
      </w:r>
    </w:p>
    <w:p w14:paraId="037A3FCB">
      <w:pPr>
        <w:ind w:firstLine="480"/>
        <w:rPr>
          <w:rFonts w:ascii="仿宋" w:hAnsi="仿宋" w:eastAsia="仿宋" w:cs="仿宋"/>
          <w:sz w:val="24"/>
          <w:szCs w:val="24"/>
        </w:rPr>
      </w:pPr>
      <w:r>
        <w:rPr>
          <w:rFonts w:hint="eastAsia" w:ascii="仿宋" w:hAnsi="仿宋" w:eastAsia="仿宋" w:cs="仿宋"/>
          <w:sz w:val="24"/>
          <w:szCs w:val="24"/>
        </w:rPr>
        <w:t>2.4“成交供应商”系指经询比评审小组按照询比文件的规定综合评审出的成交候选供应商；</w:t>
      </w:r>
    </w:p>
    <w:p w14:paraId="03EE000E">
      <w:pPr>
        <w:ind w:firstLine="480"/>
        <w:rPr>
          <w:rFonts w:ascii="仿宋" w:hAnsi="仿宋" w:eastAsia="仿宋" w:cs="仿宋"/>
          <w:sz w:val="24"/>
          <w:szCs w:val="24"/>
        </w:rPr>
      </w:pPr>
      <w:r>
        <w:rPr>
          <w:rFonts w:hint="eastAsia" w:ascii="仿宋" w:hAnsi="仿宋" w:eastAsia="仿宋" w:cs="仿宋"/>
          <w:sz w:val="24"/>
          <w:szCs w:val="24"/>
        </w:rPr>
        <w:t>3.合格询比供应商：满足询比文件中要求的合格询比供应商。</w:t>
      </w:r>
    </w:p>
    <w:p w14:paraId="5C84BA21">
      <w:pPr>
        <w:ind w:firstLine="480"/>
        <w:rPr>
          <w:rFonts w:ascii="仿宋" w:hAnsi="仿宋" w:eastAsia="仿宋" w:cs="仿宋"/>
          <w:sz w:val="24"/>
          <w:szCs w:val="24"/>
        </w:rPr>
      </w:pPr>
      <w:r>
        <w:rPr>
          <w:rFonts w:hint="eastAsia" w:ascii="仿宋" w:hAnsi="仿宋" w:eastAsia="仿宋" w:cs="仿宋"/>
          <w:sz w:val="24"/>
          <w:szCs w:val="24"/>
        </w:rPr>
        <w:t>4.保密责任：参与询比活动的各方当事人应对询比文件和询比响应文件中的商业、技术及评审或者其它可能影响公平竞争的相关信息进行保密，违者应对由此造成的后果承担相应的法律责任。</w:t>
      </w:r>
      <w:bookmarkStart w:id="52" w:name="_Toc4201"/>
    </w:p>
    <w:p w14:paraId="6AE561CC">
      <w:pPr>
        <w:ind w:firstLine="562"/>
        <w:outlineLvl w:val="1"/>
        <w:rPr>
          <w:rFonts w:ascii="仿宋" w:hAnsi="仿宋" w:eastAsia="仿宋" w:cs="仿宋"/>
          <w:b/>
          <w:bCs/>
          <w:sz w:val="28"/>
          <w:szCs w:val="28"/>
        </w:rPr>
      </w:pPr>
      <w:r>
        <w:rPr>
          <w:rFonts w:hint="eastAsia" w:ascii="仿宋" w:hAnsi="仿宋" w:eastAsia="仿宋" w:cs="仿宋"/>
          <w:b/>
          <w:bCs/>
          <w:sz w:val="28"/>
          <w:szCs w:val="28"/>
        </w:rPr>
        <w:t>询比文件</w:t>
      </w:r>
      <w:bookmarkEnd w:id="52"/>
    </w:p>
    <w:p w14:paraId="7CE5B8D4">
      <w:pPr>
        <w:ind w:firstLine="480"/>
        <w:rPr>
          <w:rFonts w:ascii="仿宋" w:hAnsi="仿宋" w:eastAsia="仿宋" w:cs="仿宋"/>
          <w:sz w:val="24"/>
          <w:szCs w:val="24"/>
        </w:rPr>
      </w:pPr>
      <w:r>
        <w:rPr>
          <w:rFonts w:hint="eastAsia" w:ascii="仿宋" w:hAnsi="仿宋" w:eastAsia="仿宋" w:cs="仿宋"/>
          <w:sz w:val="24"/>
          <w:szCs w:val="24"/>
        </w:rPr>
        <w:t>5.询比文件用以阐述所需货物、服务、询比程序和合同条款等。</w:t>
      </w:r>
    </w:p>
    <w:p w14:paraId="13F0A89C">
      <w:pPr>
        <w:ind w:firstLine="480"/>
        <w:outlineLvl w:val="2"/>
        <w:rPr>
          <w:rFonts w:ascii="仿宋" w:hAnsi="仿宋" w:eastAsia="仿宋" w:cs="仿宋"/>
          <w:sz w:val="24"/>
          <w:szCs w:val="24"/>
        </w:rPr>
      </w:pPr>
      <w:bookmarkStart w:id="53" w:name="_Toc1661"/>
      <w:r>
        <w:rPr>
          <w:rFonts w:hint="eastAsia" w:ascii="仿宋" w:hAnsi="仿宋" w:eastAsia="仿宋" w:cs="仿宋"/>
          <w:sz w:val="24"/>
          <w:szCs w:val="24"/>
        </w:rPr>
        <w:t>5.1询比文件组成：详见询比供应商须知前附表。</w:t>
      </w:r>
      <w:bookmarkEnd w:id="53"/>
    </w:p>
    <w:p w14:paraId="12812B70">
      <w:pPr>
        <w:ind w:firstLine="480"/>
        <w:rPr>
          <w:rFonts w:ascii="仿宋" w:hAnsi="仿宋" w:eastAsia="仿宋" w:cs="仿宋"/>
          <w:sz w:val="24"/>
          <w:szCs w:val="24"/>
        </w:rPr>
      </w:pPr>
      <w:r>
        <w:rPr>
          <w:rFonts w:hint="eastAsia" w:ascii="仿宋" w:hAnsi="仿宋" w:eastAsia="仿宋" w:cs="仿宋"/>
          <w:sz w:val="24"/>
          <w:szCs w:val="24"/>
        </w:rPr>
        <w:t>6.获得询比文件的询比供应商应详细阅读询比文件的全部内容，按询比文件的要求提供询比响应文件，并保证所提供的全部资料的真实性、完整性，以使递交的询比响应文件对询比文件作出实质性响应，否则其询比将被拒绝。</w:t>
      </w:r>
    </w:p>
    <w:p w14:paraId="006C1519">
      <w:pPr>
        <w:ind w:firstLine="562"/>
        <w:rPr>
          <w:rFonts w:ascii="仿宋" w:hAnsi="仿宋" w:eastAsia="仿宋" w:cs="仿宋"/>
          <w:b/>
          <w:bCs/>
          <w:sz w:val="28"/>
          <w:szCs w:val="28"/>
        </w:rPr>
      </w:pPr>
      <w:bookmarkStart w:id="54" w:name="_Toc3206"/>
      <w:bookmarkStart w:id="55" w:name="_Toc27852"/>
      <w:r>
        <w:rPr>
          <w:rFonts w:hint="eastAsia" w:ascii="仿宋" w:hAnsi="仿宋" w:eastAsia="仿宋" w:cs="仿宋"/>
          <w:b/>
          <w:bCs/>
          <w:sz w:val="28"/>
          <w:szCs w:val="28"/>
        </w:rPr>
        <w:t>询比响应文件编制说明</w:t>
      </w:r>
      <w:bookmarkEnd w:id="54"/>
      <w:bookmarkEnd w:id="55"/>
    </w:p>
    <w:p w14:paraId="4D721668">
      <w:pPr>
        <w:wordWrap w:val="0"/>
        <w:ind w:firstLine="480"/>
        <w:outlineLvl w:val="2"/>
        <w:rPr>
          <w:rFonts w:ascii="仿宋" w:hAnsi="仿宋" w:eastAsia="仿宋" w:cs="仿宋"/>
          <w:sz w:val="24"/>
          <w:szCs w:val="24"/>
        </w:rPr>
      </w:pPr>
      <w:bookmarkStart w:id="56" w:name="_Toc9696"/>
      <w:r>
        <w:rPr>
          <w:rFonts w:hint="eastAsia" w:ascii="仿宋" w:hAnsi="仿宋" w:eastAsia="仿宋" w:cs="仿宋"/>
          <w:sz w:val="24"/>
          <w:szCs w:val="24"/>
        </w:rPr>
        <w:t>7.语言文字和计量单位：</w:t>
      </w:r>
      <w:bookmarkEnd w:id="56"/>
    </w:p>
    <w:p w14:paraId="2CD261B6">
      <w:pPr>
        <w:wordWrap w:val="0"/>
        <w:ind w:firstLine="480"/>
        <w:rPr>
          <w:rFonts w:ascii="仿宋" w:hAnsi="仿宋" w:eastAsia="仿宋" w:cs="仿宋"/>
          <w:sz w:val="24"/>
          <w:szCs w:val="24"/>
        </w:rPr>
      </w:pPr>
      <w:r>
        <w:rPr>
          <w:rFonts w:hint="eastAsia" w:ascii="仿宋" w:hAnsi="仿宋" w:eastAsia="仿宋" w:cs="仿宋"/>
          <w:sz w:val="24"/>
          <w:szCs w:val="24"/>
        </w:rPr>
        <w:t>7.1除专用术语外，与询比有关的语言均使用中文。必要时专用术语应附有中文注释；</w:t>
      </w:r>
    </w:p>
    <w:p w14:paraId="1DFB3E76">
      <w:pPr>
        <w:wordWrap w:val="0"/>
        <w:ind w:firstLine="480"/>
        <w:rPr>
          <w:rFonts w:ascii="仿宋" w:hAnsi="仿宋" w:eastAsia="仿宋" w:cs="仿宋"/>
          <w:sz w:val="24"/>
          <w:szCs w:val="24"/>
        </w:rPr>
      </w:pPr>
      <w:r>
        <w:rPr>
          <w:rFonts w:hint="eastAsia" w:ascii="仿宋" w:hAnsi="仿宋" w:eastAsia="仿宋" w:cs="仿宋"/>
          <w:sz w:val="24"/>
          <w:szCs w:val="24"/>
        </w:rPr>
        <w:t>7.2除在询比文件的技术规格中另有规定的，计量单位应使用中华人民共和国法定计量单位；</w:t>
      </w:r>
    </w:p>
    <w:p w14:paraId="4A980950">
      <w:pPr>
        <w:wordWrap w:val="0"/>
        <w:ind w:firstLine="480"/>
        <w:rPr>
          <w:rFonts w:ascii="仿宋" w:hAnsi="仿宋" w:eastAsia="仿宋" w:cs="仿宋"/>
          <w:sz w:val="24"/>
          <w:szCs w:val="24"/>
        </w:rPr>
      </w:pPr>
      <w:r>
        <w:rPr>
          <w:rFonts w:hint="eastAsia" w:ascii="仿宋" w:hAnsi="仿宋" w:eastAsia="仿宋" w:cs="仿宋"/>
          <w:sz w:val="24"/>
          <w:szCs w:val="24"/>
        </w:rPr>
        <w:t>7.3询比、响应文件中所提及的日期均为公历日期，时间均为北京时间，以24小时制计；</w:t>
      </w:r>
    </w:p>
    <w:p w14:paraId="45AA10BD">
      <w:pPr>
        <w:ind w:firstLine="480"/>
        <w:outlineLvl w:val="2"/>
        <w:rPr>
          <w:rFonts w:ascii="仿宋" w:hAnsi="仿宋" w:eastAsia="仿宋" w:cs="仿宋"/>
          <w:sz w:val="24"/>
          <w:szCs w:val="24"/>
        </w:rPr>
      </w:pPr>
      <w:bookmarkStart w:id="57" w:name="_Toc4128"/>
      <w:r>
        <w:rPr>
          <w:rFonts w:hint="eastAsia" w:ascii="仿宋" w:hAnsi="仿宋" w:eastAsia="仿宋" w:cs="仿宋"/>
          <w:sz w:val="24"/>
          <w:szCs w:val="24"/>
        </w:rPr>
        <w:t>8.询比响应文件的组成：</w:t>
      </w:r>
      <w:bookmarkEnd w:id="57"/>
    </w:p>
    <w:p w14:paraId="2850F1DC">
      <w:pPr>
        <w:ind w:firstLine="480"/>
        <w:outlineLvl w:val="3"/>
        <w:rPr>
          <w:rFonts w:ascii="仿宋" w:hAnsi="仿宋" w:eastAsia="仿宋" w:cs="仿宋"/>
          <w:sz w:val="24"/>
          <w:szCs w:val="24"/>
        </w:rPr>
      </w:pPr>
      <w:r>
        <w:rPr>
          <w:rFonts w:hint="eastAsia" w:ascii="仿宋" w:hAnsi="仿宋" w:eastAsia="仿宋" w:cs="仿宋"/>
          <w:sz w:val="24"/>
          <w:szCs w:val="24"/>
        </w:rPr>
        <w:t>8.1询比响应文件的组成：按询比响应文件格式要求；</w:t>
      </w:r>
    </w:p>
    <w:p w14:paraId="445B5E89">
      <w:pPr>
        <w:ind w:firstLine="480"/>
        <w:rPr>
          <w:rFonts w:ascii="仿宋" w:hAnsi="仿宋" w:eastAsia="仿宋" w:cs="仿宋"/>
          <w:sz w:val="24"/>
          <w:szCs w:val="24"/>
        </w:rPr>
      </w:pPr>
      <w:r>
        <w:rPr>
          <w:rFonts w:hint="eastAsia" w:ascii="仿宋" w:hAnsi="仿宋" w:eastAsia="仿宋" w:cs="仿宋"/>
          <w:sz w:val="24"/>
          <w:szCs w:val="24"/>
        </w:rPr>
        <w:t>8.2询比供应商根据询比文件载明的标的竞比项目实际情况，拟在成交后将成交项目的非主体、非关键性工作交由他人完成的，应当在询比响应文件中载明。</w:t>
      </w:r>
    </w:p>
    <w:p w14:paraId="004690E7">
      <w:pPr>
        <w:ind w:firstLine="562"/>
        <w:outlineLvl w:val="1"/>
        <w:rPr>
          <w:rFonts w:ascii="仿宋" w:hAnsi="仿宋" w:eastAsia="仿宋" w:cs="仿宋"/>
          <w:b/>
          <w:bCs/>
          <w:sz w:val="28"/>
          <w:szCs w:val="28"/>
        </w:rPr>
      </w:pPr>
      <w:bookmarkStart w:id="58" w:name="_Toc2600"/>
      <w:r>
        <w:rPr>
          <w:rFonts w:hint="eastAsia" w:ascii="仿宋" w:hAnsi="仿宋" w:eastAsia="仿宋" w:cs="仿宋"/>
          <w:b/>
          <w:bCs/>
          <w:sz w:val="28"/>
          <w:szCs w:val="28"/>
        </w:rPr>
        <w:t>询比响应文件的递交</w:t>
      </w:r>
      <w:bookmarkEnd w:id="58"/>
    </w:p>
    <w:p w14:paraId="2E31AD4F">
      <w:pPr>
        <w:ind w:firstLine="480"/>
        <w:rPr>
          <w:rFonts w:ascii="仿宋" w:hAnsi="仿宋" w:eastAsia="仿宋" w:cs="仿宋"/>
          <w:sz w:val="24"/>
          <w:szCs w:val="24"/>
        </w:rPr>
      </w:pPr>
      <w:r>
        <w:rPr>
          <w:rFonts w:hint="eastAsia" w:ascii="仿宋" w:hAnsi="仿宋" w:eastAsia="仿宋" w:cs="仿宋"/>
          <w:sz w:val="24"/>
          <w:szCs w:val="24"/>
        </w:rPr>
        <w:t>9.询比响应文件的形式及份数：详见询比供应商须知前附表。</w:t>
      </w:r>
    </w:p>
    <w:p w14:paraId="42D27CCD">
      <w:pPr>
        <w:ind w:firstLine="480"/>
        <w:rPr>
          <w:rFonts w:ascii="仿宋" w:hAnsi="仿宋" w:eastAsia="仿宋" w:cs="仿宋"/>
          <w:sz w:val="24"/>
          <w:szCs w:val="24"/>
        </w:rPr>
      </w:pPr>
      <w:r>
        <w:rPr>
          <w:rFonts w:hint="eastAsia" w:ascii="仿宋" w:hAnsi="仿宋" w:eastAsia="仿宋" w:cs="仿宋"/>
          <w:sz w:val="24"/>
          <w:szCs w:val="24"/>
        </w:rPr>
        <w:t>10.询比响应文件的密封和标记：详见询比供应商须知前附表。</w:t>
      </w:r>
    </w:p>
    <w:p w14:paraId="200AA92E">
      <w:pPr>
        <w:ind w:firstLine="480"/>
        <w:rPr>
          <w:rFonts w:ascii="仿宋" w:hAnsi="仿宋" w:eastAsia="仿宋" w:cs="仿宋"/>
          <w:sz w:val="24"/>
          <w:szCs w:val="24"/>
        </w:rPr>
      </w:pPr>
      <w:r>
        <w:rPr>
          <w:rFonts w:hint="eastAsia" w:ascii="仿宋" w:hAnsi="仿宋" w:eastAsia="仿宋" w:cs="仿宋"/>
          <w:sz w:val="24"/>
          <w:szCs w:val="24"/>
        </w:rPr>
        <w:t>11.询比响应文件的递交：详见询比供应商须知前附表。</w:t>
      </w:r>
    </w:p>
    <w:p w14:paraId="540901FB">
      <w:pPr>
        <w:ind w:firstLine="480"/>
        <w:rPr>
          <w:rFonts w:ascii="仿宋" w:hAnsi="仿宋" w:eastAsia="仿宋" w:cs="仿宋"/>
          <w:sz w:val="24"/>
          <w:szCs w:val="24"/>
        </w:rPr>
      </w:pPr>
      <w:r>
        <w:rPr>
          <w:rFonts w:hint="eastAsia" w:ascii="仿宋" w:hAnsi="仿宋" w:eastAsia="仿宋" w:cs="仿宋"/>
          <w:sz w:val="24"/>
          <w:szCs w:val="24"/>
        </w:rPr>
        <w:t>12.询比响应文件的修改和撤销：</w:t>
      </w:r>
    </w:p>
    <w:p w14:paraId="789DE3D4">
      <w:pPr>
        <w:ind w:firstLine="480"/>
        <w:outlineLvl w:val="2"/>
        <w:rPr>
          <w:rFonts w:ascii="仿宋" w:hAnsi="仿宋" w:eastAsia="仿宋" w:cs="仿宋"/>
          <w:sz w:val="24"/>
          <w:szCs w:val="24"/>
        </w:rPr>
      </w:pPr>
      <w:bookmarkStart w:id="59" w:name="_Toc16035"/>
      <w:r>
        <w:rPr>
          <w:rFonts w:hint="eastAsia" w:ascii="仿宋" w:hAnsi="仿宋" w:eastAsia="仿宋" w:cs="仿宋"/>
          <w:sz w:val="24"/>
          <w:szCs w:val="24"/>
        </w:rPr>
        <w:t>12.1询比截止时间后不得修改询比响应文件；</w:t>
      </w:r>
      <w:bookmarkEnd w:id="59"/>
    </w:p>
    <w:p w14:paraId="5C3A4090">
      <w:pPr>
        <w:ind w:firstLine="480"/>
        <w:rPr>
          <w:rFonts w:ascii="仿宋" w:hAnsi="仿宋" w:eastAsia="仿宋" w:cs="仿宋"/>
          <w:sz w:val="24"/>
          <w:szCs w:val="24"/>
        </w:rPr>
      </w:pPr>
      <w:r>
        <w:rPr>
          <w:rFonts w:hint="eastAsia" w:ascii="仿宋" w:hAnsi="仿宋" w:eastAsia="仿宋" w:cs="仿宋"/>
          <w:sz w:val="24"/>
          <w:szCs w:val="24"/>
        </w:rPr>
        <w:t>12.2询比供应商不得在询比响应文件递交截止时间起至询比响应文件有效期期满前撤销询比响应文件。</w:t>
      </w:r>
    </w:p>
    <w:p w14:paraId="41CBBA97">
      <w:pPr>
        <w:ind w:firstLine="562"/>
        <w:outlineLvl w:val="1"/>
        <w:rPr>
          <w:rFonts w:ascii="仿宋" w:hAnsi="仿宋" w:eastAsia="仿宋" w:cs="仿宋"/>
          <w:b/>
          <w:bCs/>
          <w:sz w:val="28"/>
          <w:szCs w:val="28"/>
        </w:rPr>
      </w:pPr>
      <w:bookmarkStart w:id="60" w:name="_Toc19212"/>
      <w:r>
        <w:rPr>
          <w:rFonts w:hint="eastAsia" w:ascii="仿宋" w:hAnsi="仿宋" w:eastAsia="仿宋" w:cs="仿宋"/>
          <w:b/>
          <w:bCs/>
          <w:sz w:val="28"/>
          <w:szCs w:val="28"/>
        </w:rPr>
        <w:t>询比、评审、定标和无效标条款</w:t>
      </w:r>
      <w:bookmarkEnd w:id="60"/>
    </w:p>
    <w:p w14:paraId="3FC20A5F">
      <w:pPr>
        <w:ind w:firstLine="480"/>
        <w:rPr>
          <w:rFonts w:ascii="仿宋" w:hAnsi="仿宋" w:eastAsia="仿宋" w:cs="仿宋"/>
          <w:sz w:val="24"/>
          <w:szCs w:val="24"/>
        </w:rPr>
      </w:pPr>
      <w:r>
        <w:rPr>
          <w:rFonts w:hint="eastAsia" w:ascii="仿宋" w:hAnsi="仿宋" w:eastAsia="仿宋" w:cs="仿宋"/>
          <w:sz w:val="24"/>
          <w:szCs w:val="24"/>
        </w:rPr>
        <w:t>13.本项目递交响应文件供应商应不低于三家，若通过资格审查的供应商仅两家时，经询比评审小组评审认定具备竞争性的，询比程序照常进行。</w:t>
      </w:r>
    </w:p>
    <w:p w14:paraId="1214BE59">
      <w:pPr>
        <w:ind w:firstLine="480"/>
        <w:rPr>
          <w:rFonts w:ascii="仿宋" w:hAnsi="仿宋" w:eastAsia="仿宋" w:cs="仿宋"/>
          <w:sz w:val="24"/>
          <w:szCs w:val="24"/>
        </w:rPr>
      </w:pPr>
      <w:r>
        <w:rPr>
          <w:rFonts w:hint="eastAsia" w:ascii="仿宋" w:hAnsi="仿宋" w:eastAsia="仿宋" w:cs="仿宋"/>
          <w:sz w:val="24"/>
          <w:szCs w:val="24"/>
        </w:rPr>
        <w:t>14.询比响应文件的核验及唱标：详见询比供应商须知前附表。</w:t>
      </w:r>
    </w:p>
    <w:p w14:paraId="40D71C05">
      <w:pPr>
        <w:ind w:firstLine="480"/>
        <w:rPr>
          <w:rFonts w:ascii="仿宋" w:hAnsi="仿宋" w:eastAsia="仿宋" w:cs="仿宋"/>
          <w:sz w:val="24"/>
          <w:szCs w:val="24"/>
        </w:rPr>
      </w:pPr>
      <w:r>
        <w:rPr>
          <w:rFonts w:hint="eastAsia" w:ascii="仿宋" w:hAnsi="仿宋" w:eastAsia="仿宋" w:cs="仿宋"/>
          <w:sz w:val="24"/>
          <w:szCs w:val="24"/>
        </w:rPr>
        <w:t>15.询比评审小组：</w:t>
      </w:r>
    </w:p>
    <w:p w14:paraId="175AD4CB">
      <w:pPr>
        <w:ind w:firstLine="480"/>
        <w:outlineLvl w:val="2"/>
        <w:rPr>
          <w:rFonts w:ascii="仿宋" w:hAnsi="仿宋" w:eastAsia="仿宋" w:cs="仿宋"/>
          <w:sz w:val="24"/>
          <w:szCs w:val="24"/>
        </w:rPr>
      </w:pPr>
      <w:bookmarkStart w:id="61" w:name="_Toc5491"/>
      <w:r>
        <w:rPr>
          <w:rFonts w:hint="eastAsia" w:ascii="仿宋" w:hAnsi="仿宋" w:eastAsia="仿宋" w:cs="仿宋"/>
          <w:sz w:val="24"/>
          <w:szCs w:val="24"/>
        </w:rPr>
        <w:t>15.1询比评审小组的组成：详见询比供应商须知前附表；</w:t>
      </w:r>
      <w:bookmarkEnd w:id="61"/>
    </w:p>
    <w:p w14:paraId="12A23595">
      <w:pPr>
        <w:ind w:firstLine="480"/>
        <w:rPr>
          <w:rFonts w:ascii="仿宋" w:hAnsi="仿宋" w:eastAsia="仿宋" w:cs="仿宋"/>
          <w:sz w:val="24"/>
          <w:szCs w:val="24"/>
        </w:rPr>
      </w:pPr>
      <w:r>
        <w:rPr>
          <w:rFonts w:hint="eastAsia" w:ascii="仿宋" w:hAnsi="仿宋" w:eastAsia="仿宋" w:cs="仿宋"/>
          <w:sz w:val="24"/>
          <w:szCs w:val="24"/>
        </w:rPr>
        <w:t>15.2询比评审小组的职责：询比评审小组成员集中对询比响应文件进行审查；</w:t>
      </w:r>
    </w:p>
    <w:p w14:paraId="73EE53B1">
      <w:pPr>
        <w:ind w:firstLine="480"/>
        <w:rPr>
          <w:rFonts w:ascii="仿宋" w:hAnsi="仿宋" w:eastAsia="仿宋" w:cs="仿宋"/>
          <w:sz w:val="24"/>
          <w:szCs w:val="24"/>
        </w:rPr>
      </w:pPr>
      <w:r>
        <w:rPr>
          <w:rFonts w:hint="eastAsia" w:ascii="仿宋" w:hAnsi="仿宋" w:eastAsia="仿宋" w:cs="仿宋"/>
          <w:sz w:val="24"/>
          <w:szCs w:val="24"/>
        </w:rPr>
        <w:t>15.3询比评审小组可以书面方式要求询比供应商对询比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14:paraId="190DA0D8">
      <w:pPr>
        <w:ind w:firstLine="480"/>
        <w:outlineLvl w:val="3"/>
        <w:rPr>
          <w:rFonts w:ascii="仿宋" w:hAnsi="仿宋" w:eastAsia="仿宋" w:cs="仿宋"/>
          <w:sz w:val="24"/>
          <w:szCs w:val="24"/>
        </w:rPr>
      </w:pPr>
      <w:r>
        <w:rPr>
          <w:rFonts w:hint="eastAsia" w:ascii="仿宋" w:hAnsi="仿宋" w:eastAsia="仿宋" w:cs="仿宋"/>
          <w:sz w:val="24"/>
          <w:szCs w:val="24"/>
        </w:rPr>
        <w:t>16.询比响应文件的审查和响应性的确定：</w:t>
      </w:r>
    </w:p>
    <w:p w14:paraId="3AE0358B">
      <w:pPr>
        <w:ind w:firstLine="480"/>
        <w:jc w:val="both"/>
        <w:rPr>
          <w:rFonts w:ascii="仿宋" w:hAnsi="仿宋" w:eastAsia="仿宋" w:cs="仿宋"/>
          <w:sz w:val="24"/>
          <w:szCs w:val="24"/>
        </w:rPr>
      </w:pPr>
      <w:r>
        <w:rPr>
          <w:rFonts w:hint="eastAsia" w:ascii="仿宋" w:hAnsi="仿宋" w:eastAsia="仿宋" w:cs="仿宋"/>
          <w:sz w:val="24"/>
          <w:szCs w:val="24"/>
        </w:rPr>
        <w:t>17.1询比评审小组将审查询比响应文件是否完整、是否有计算错误、询比响应文件是否签署等。询比响应文件中询比函上的报价内容与询比响应文件中明细表内容不一致的；询比报价大小写不一致的以大写为准；总价金额与单价汇总金额不一致的，以单价汇总金额为准；单价金额小数点有明显错位的，应以总价为准，并修改单价；对不同文字询比响应文件的解释发生异议的，以中文文本为准。</w:t>
      </w:r>
    </w:p>
    <w:p w14:paraId="4672DC61">
      <w:pPr>
        <w:ind w:firstLine="480"/>
        <w:rPr>
          <w:rFonts w:ascii="仿宋" w:hAnsi="仿宋" w:eastAsia="仿宋" w:cs="仿宋"/>
          <w:sz w:val="24"/>
          <w:szCs w:val="24"/>
        </w:rPr>
      </w:pPr>
      <w:r>
        <w:rPr>
          <w:rFonts w:hint="eastAsia" w:ascii="仿宋" w:hAnsi="仿宋" w:eastAsia="仿宋" w:cs="仿宋"/>
          <w:sz w:val="24"/>
          <w:szCs w:val="24"/>
        </w:rPr>
        <w:t>17.2询比评审小组判断询比响应文件的响应性仅基于询比响应文件本身而非其它外部因素；</w:t>
      </w:r>
    </w:p>
    <w:p w14:paraId="3F7D48A2">
      <w:pPr>
        <w:ind w:firstLine="480"/>
        <w:rPr>
          <w:rFonts w:ascii="仿宋" w:hAnsi="仿宋" w:eastAsia="仿宋" w:cs="仿宋"/>
          <w:sz w:val="24"/>
          <w:szCs w:val="24"/>
        </w:rPr>
      </w:pPr>
      <w:r>
        <w:rPr>
          <w:rFonts w:hint="eastAsia" w:ascii="仿宋" w:hAnsi="仿宋" w:eastAsia="仿宋" w:cs="仿宋"/>
          <w:sz w:val="24"/>
          <w:szCs w:val="24"/>
        </w:rPr>
        <w:t>17.3询比评审小组拒绝被确定为非实质性响应的询比，询比供应商不能通过修正或撤销不符之处而使其询比成为实质性响应的询比。</w:t>
      </w:r>
    </w:p>
    <w:p w14:paraId="44584F0F">
      <w:pPr>
        <w:adjustRightInd w:val="0"/>
        <w:snapToGrid w:val="0"/>
        <w:ind w:firstLine="480"/>
        <w:outlineLvl w:val="3"/>
        <w:rPr>
          <w:rFonts w:ascii="仿宋" w:hAnsi="仿宋" w:eastAsia="仿宋" w:cs="仿宋"/>
          <w:sz w:val="24"/>
          <w:szCs w:val="24"/>
        </w:rPr>
      </w:pPr>
      <w:r>
        <w:rPr>
          <w:rFonts w:hint="eastAsia" w:ascii="仿宋" w:hAnsi="仿宋" w:eastAsia="仿宋" w:cs="仿宋"/>
          <w:sz w:val="24"/>
          <w:szCs w:val="24"/>
        </w:rPr>
        <w:t>18.评审标准及办法：详见第四部分“评审标准及办法”。</w:t>
      </w:r>
    </w:p>
    <w:p w14:paraId="0ADDD4FC">
      <w:pPr>
        <w:adjustRightInd w:val="0"/>
        <w:snapToGrid w:val="0"/>
        <w:ind w:firstLine="480"/>
        <w:rPr>
          <w:rFonts w:ascii="仿宋" w:hAnsi="仿宋" w:eastAsia="仿宋" w:cs="仿宋"/>
          <w:sz w:val="24"/>
          <w:szCs w:val="24"/>
        </w:rPr>
      </w:pPr>
      <w:r>
        <w:rPr>
          <w:rFonts w:hint="eastAsia" w:ascii="仿宋" w:hAnsi="仿宋" w:eastAsia="仿宋" w:cs="仿宋"/>
          <w:sz w:val="24"/>
          <w:szCs w:val="24"/>
        </w:rPr>
        <w:t>19.实质上没有响应询比文件要求的询比将被否决。询比供应商不得通过修正或撤消不合要求的偏离从而使其询比成为实质上响应的询比。如发现下列情况之一的，其询比将作</w:t>
      </w:r>
      <w:r>
        <w:rPr>
          <w:rFonts w:hint="eastAsia" w:ascii="仿宋" w:hAnsi="仿宋" w:eastAsia="仿宋" w:cs="仿宋"/>
          <w:b/>
          <w:bCs/>
          <w:sz w:val="24"/>
          <w:szCs w:val="24"/>
        </w:rPr>
        <w:t>无效标</w:t>
      </w:r>
      <w:r>
        <w:rPr>
          <w:rFonts w:hint="eastAsia" w:ascii="仿宋" w:hAnsi="仿宋" w:eastAsia="仿宋" w:cs="仿宋"/>
          <w:sz w:val="24"/>
          <w:szCs w:val="24"/>
        </w:rPr>
        <w:t>处理：</w:t>
      </w:r>
    </w:p>
    <w:p w14:paraId="7B40758D">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1）询比响应文件逾期递交的；</w:t>
      </w:r>
    </w:p>
    <w:p w14:paraId="72EA904A">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2）询比供应商的询比报价超过相应的总价最高采购限价，最高采购限价或询比报价不符合要求的；</w:t>
      </w:r>
    </w:p>
    <w:p w14:paraId="2BAE60A5">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3)询比响应文件中提供虚假材料的；</w:t>
      </w:r>
    </w:p>
    <w:p w14:paraId="5BBE53DC">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4)询比有效期不足；</w:t>
      </w:r>
    </w:p>
    <w:p w14:paraId="42E3E77C">
      <w:pPr>
        <w:adjustRightInd w:val="0"/>
        <w:snapToGrid w:val="0"/>
        <w:ind w:firstLine="482"/>
        <w:jc w:val="both"/>
        <w:rPr>
          <w:rFonts w:ascii="仿宋" w:hAnsi="仿宋" w:eastAsia="仿宋" w:cs="仿宋"/>
          <w:b/>
          <w:bCs/>
          <w:sz w:val="24"/>
          <w:szCs w:val="24"/>
        </w:rPr>
      </w:pPr>
      <w:r>
        <w:rPr>
          <w:rFonts w:hint="eastAsia" w:ascii="仿宋" w:hAnsi="仿宋" w:eastAsia="仿宋" w:cs="仿宋"/>
          <w:b/>
          <w:bCs/>
          <w:sz w:val="24"/>
          <w:szCs w:val="24"/>
        </w:rPr>
        <w:t>5)询比评审小组认为询比报价明显低于成本，询比供应商不能合理说明或者不能提供相关证明材料的（是否低于成本由评审专家评定）；</w:t>
      </w:r>
    </w:p>
    <w:p w14:paraId="3C344821">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6)询比供应商以他人名义询比、串通询比、以行贿手段谋取成交或者以弄虚作假等方式避险的；</w:t>
      </w:r>
    </w:p>
    <w:p w14:paraId="3CBFE9CA">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7)未按询比文件要求提供有关承诺的；</w:t>
      </w:r>
    </w:p>
    <w:p w14:paraId="2978AF05">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8)询比响应文件未能对询比文件提出的要求和条件作出实质性响应的；</w:t>
      </w:r>
    </w:p>
    <w:p w14:paraId="15DF14FB">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9）询比供应商资格条件不符合国家有关规定和询比文件要求的，或者拒不按照要求对询比响应文件进行澄清、说明或者补正的；</w:t>
      </w:r>
    </w:p>
    <w:p w14:paraId="2A34A392">
      <w:pPr>
        <w:adjustRightInd w:val="0"/>
        <w:snapToGrid w:val="0"/>
        <w:ind w:firstLine="482"/>
        <w:rPr>
          <w:rFonts w:ascii="仿宋" w:hAnsi="仿宋" w:eastAsia="仿宋" w:cs="仿宋"/>
          <w:b/>
          <w:bCs/>
          <w:sz w:val="24"/>
          <w:szCs w:val="24"/>
        </w:rPr>
      </w:pPr>
      <w:r>
        <w:rPr>
          <w:rFonts w:hint="eastAsia" w:ascii="仿宋" w:hAnsi="仿宋" w:eastAsia="仿宋" w:cs="仿宋"/>
          <w:b/>
          <w:bCs/>
          <w:sz w:val="24"/>
          <w:szCs w:val="24"/>
        </w:rPr>
        <w:t>10)违反国家及地方相关法律法规规定；</w:t>
      </w:r>
    </w:p>
    <w:p w14:paraId="4073EF55">
      <w:pPr>
        <w:pStyle w:val="11"/>
        <w:ind w:firstLine="562"/>
        <w:outlineLvl w:val="1"/>
        <w:rPr>
          <w:rFonts w:hint="default" w:ascii="仿宋" w:hAnsi="仿宋" w:eastAsia="仿宋" w:cs="仿宋"/>
          <w:b/>
          <w:bCs/>
          <w:sz w:val="28"/>
          <w:szCs w:val="28"/>
        </w:rPr>
      </w:pPr>
      <w:bookmarkStart w:id="62" w:name="_Toc24516"/>
      <w:r>
        <w:rPr>
          <w:rFonts w:ascii="仿宋" w:hAnsi="仿宋" w:eastAsia="仿宋" w:cs="仿宋"/>
          <w:b/>
          <w:bCs/>
          <w:sz w:val="28"/>
          <w:szCs w:val="28"/>
        </w:rPr>
        <w:t>签订合同</w:t>
      </w:r>
      <w:bookmarkEnd w:id="62"/>
    </w:p>
    <w:p w14:paraId="3AB15ACF">
      <w:pPr>
        <w:ind w:firstLine="480"/>
        <w:outlineLvl w:val="2"/>
        <w:rPr>
          <w:rFonts w:ascii="仿宋" w:hAnsi="仿宋" w:eastAsia="仿宋" w:cs="仿宋"/>
          <w:sz w:val="24"/>
          <w:szCs w:val="24"/>
        </w:rPr>
      </w:pPr>
      <w:bookmarkStart w:id="63" w:name="_Toc23279"/>
      <w:r>
        <w:rPr>
          <w:rFonts w:hint="eastAsia" w:ascii="仿宋" w:hAnsi="仿宋" w:eastAsia="仿宋" w:cs="仿宋"/>
          <w:sz w:val="24"/>
          <w:szCs w:val="24"/>
        </w:rPr>
        <w:t>20.成交通知：</w:t>
      </w:r>
      <w:bookmarkEnd w:id="63"/>
    </w:p>
    <w:p w14:paraId="40F58340">
      <w:pPr>
        <w:ind w:firstLine="480"/>
        <w:jc w:val="both"/>
        <w:rPr>
          <w:rFonts w:ascii="仿宋" w:hAnsi="仿宋" w:eastAsia="仿宋" w:cs="仿宋"/>
          <w:sz w:val="24"/>
          <w:szCs w:val="24"/>
        </w:rPr>
      </w:pPr>
      <w:r>
        <w:rPr>
          <w:rFonts w:hint="eastAsia" w:ascii="仿宋" w:hAnsi="仿宋" w:eastAsia="仿宋" w:cs="仿宋"/>
          <w:sz w:val="24"/>
          <w:szCs w:val="24"/>
        </w:rPr>
        <w:t>20.1询比结结果在保健酒业公司官网平台上进行公示，由采购人向成交供应商发出《成交通知书》。</w:t>
      </w:r>
    </w:p>
    <w:p w14:paraId="25B9161A">
      <w:pPr>
        <w:ind w:firstLine="480"/>
        <w:outlineLvl w:val="3"/>
        <w:rPr>
          <w:rFonts w:ascii="仿宋" w:hAnsi="仿宋" w:eastAsia="仿宋" w:cs="仿宋"/>
          <w:sz w:val="24"/>
          <w:szCs w:val="24"/>
        </w:rPr>
      </w:pPr>
      <w:r>
        <w:rPr>
          <w:rFonts w:hint="eastAsia" w:ascii="仿宋" w:hAnsi="仿宋" w:eastAsia="仿宋" w:cs="仿宋"/>
          <w:sz w:val="24"/>
          <w:szCs w:val="24"/>
        </w:rPr>
        <w:t>20.2《成交通知书》一经发出即发生法律效，将作为签订合同的依据。</w:t>
      </w:r>
    </w:p>
    <w:p w14:paraId="4891B3D8">
      <w:pPr>
        <w:ind w:firstLine="480"/>
        <w:outlineLvl w:val="2"/>
        <w:rPr>
          <w:rFonts w:ascii="仿宋" w:hAnsi="仿宋" w:eastAsia="仿宋" w:cs="仿宋"/>
          <w:sz w:val="24"/>
          <w:szCs w:val="24"/>
        </w:rPr>
      </w:pPr>
      <w:bookmarkStart w:id="64" w:name="_Toc5892"/>
      <w:r>
        <w:rPr>
          <w:rFonts w:hint="eastAsia" w:ascii="仿宋" w:hAnsi="仿宋" w:eastAsia="仿宋" w:cs="仿宋"/>
          <w:sz w:val="24"/>
          <w:szCs w:val="24"/>
        </w:rPr>
        <w:t>21.合同的签订：</w:t>
      </w:r>
      <w:bookmarkEnd w:id="64"/>
    </w:p>
    <w:p w14:paraId="18AD3B7D">
      <w:pPr>
        <w:ind w:firstLine="480"/>
        <w:rPr>
          <w:rFonts w:ascii="仿宋" w:hAnsi="仿宋" w:eastAsia="仿宋" w:cs="仿宋"/>
          <w:sz w:val="24"/>
          <w:szCs w:val="24"/>
        </w:rPr>
      </w:pPr>
      <w:r>
        <w:rPr>
          <w:rFonts w:hint="eastAsia" w:ascii="仿宋" w:hAnsi="仿宋" w:eastAsia="仿宋" w:cs="仿宋"/>
          <w:sz w:val="24"/>
          <w:szCs w:val="24"/>
        </w:rPr>
        <w:t>21.1成交供应商应在成交通知书发出之日起在规定时间内，主动和采购人取得联系并按照指定的时间、地点与采购人签订合同。</w:t>
      </w:r>
    </w:p>
    <w:p w14:paraId="48CFF1F7">
      <w:pPr>
        <w:ind w:firstLine="480"/>
        <w:rPr>
          <w:rFonts w:ascii="仿宋" w:hAnsi="仿宋" w:eastAsia="仿宋" w:cs="仿宋"/>
          <w:sz w:val="24"/>
          <w:szCs w:val="24"/>
        </w:rPr>
      </w:pPr>
      <w:r>
        <w:rPr>
          <w:rFonts w:hint="eastAsia" w:ascii="仿宋" w:hAnsi="仿宋" w:eastAsia="仿宋" w:cs="仿宋"/>
          <w:sz w:val="24"/>
          <w:szCs w:val="24"/>
        </w:rPr>
        <w:t>21.2“询比文件”、成交供应商的“询比响应文件”及其澄清文件等，均为签订合同的依据。</w:t>
      </w:r>
    </w:p>
    <w:p w14:paraId="6C827C7A">
      <w:pPr>
        <w:ind w:firstLine="480"/>
        <w:rPr>
          <w:rFonts w:ascii="仿宋" w:hAnsi="仿宋" w:eastAsia="仿宋" w:cs="仿宋"/>
          <w:sz w:val="24"/>
          <w:szCs w:val="24"/>
        </w:rPr>
      </w:pPr>
      <w:r>
        <w:rPr>
          <w:rFonts w:hint="eastAsia" w:ascii="仿宋" w:hAnsi="仿宋" w:eastAsia="仿宋" w:cs="仿宋"/>
          <w:sz w:val="24"/>
          <w:szCs w:val="24"/>
        </w:rPr>
        <w:t>21.3成交供应商如未能按要求在规定限期内签订合同，除不可抗力外，无论何种原因采购人有权取消其成交资格、撤销其成交通知书，并另选择成交供应商或重新询比。</w:t>
      </w:r>
    </w:p>
    <w:p w14:paraId="64EE35CD">
      <w:pPr>
        <w:ind w:firstLine="480"/>
        <w:rPr>
          <w:rFonts w:ascii="仿宋" w:hAnsi="仿宋" w:eastAsia="仿宋" w:cs="仿宋"/>
          <w:sz w:val="24"/>
          <w:szCs w:val="24"/>
        </w:rPr>
      </w:pPr>
      <w:r>
        <w:rPr>
          <w:rFonts w:hint="eastAsia" w:ascii="仿宋" w:hAnsi="仿宋" w:eastAsia="仿宋" w:cs="仿宋"/>
          <w:sz w:val="24"/>
          <w:szCs w:val="24"/>
        </w:rPr>
        <w:t>21.4采购人根据实际情况可以对成交供应商进行考察核实，如发现其有弄虚作假的现象可以取消其成交资格。</w:t>
      </w:r>
    </w:p>
    <w:p w14:paraId="2192DF74">
      <w:pPr>
        <w:ind w:firstLine="480"/>
        <w:rPr>
          <w:rFonts w:ascii="仿宋" w:hAnsi="仿宋" w:eastAsia="仿宋" w:cs="仿宋"/>
          <w:sz w:val="24"/>
          <w:szCs w:val="24"/>
        </w:rPr>
      </w:pPr>
      <w:r>
        <w:rPr>
          <w:rFonts w:hint="eastAsia" w:ascii="仿宋" w:hAnsi="仿宋" w:eastAsia="仿宋" w:cs="仿宋"/>
          <w:sz w:val="24"/>
          <w:szCs w:val="24"/>
        </w:rPr>
        <w:t>21.5在合同执行过程中，如成交供应商出现违规、违约行为，采购人有权终止（或解除）合同。</w:t>
      </w:r>
    </w:p>
    <w:p w14:paraId="1A9320C9">
      <w:pPr>
        <w:ind w:firstLine="480"/>
        <w:outlineLvl w:val="3"/>
        <w:rPr>
          <w:rFonts w:ascii="仿宋" w:hAnsi="仿宋" w:eastAsia="仿宋" w:cs="仿宋"/>
          <w:sz w:val="24"/>
          <w:szCs w:val="24"/>
        </w:rPr>
      </w:pPr>
      <w:r>
        <w:rPr>
          <w:rFonts w:hint="eastAsia" w:ascii="仿宋" w:hAnsi="仿宋" w:eastAsia="仿宋" w:cs="仿宋"/>
          <w:sz w:val="24"/>
          <w:szCs w:val="24"/>
        </w:rPr>
        <w:t>21.6确定成交后，成交供应商与采购人签订合同。</w:t>
      </w:r>
    </w:p>
    <w:p w14:paraId="195D88FA">
      <w:pPr>
        <w:ind w:firstLine="480"/>
        <w:rPr>
          <w:rFonts w:ascii="仿宋" w:hAnsi="仿宋" w:eastAsia="仿宋" w:cs="仿宋"/>
          <w:sz w:val="24"/>
          <w:szCs w:val="24"/>
        </w:rPr>
      </w:pPr>
      <w:r>
        <w:rPr>
          <w:rFonts w:hint="eastAsia" w:ascii="仿宋" w:hAnsi="仿宋" w:eastAsia="仿宋" w:cs="仿宋"/>
          <w:sz w:val="24"/>
          <w:szCs w:val="24"/>
        </w:rPr>
        <w:t>21.7成交后询比文件和询比响应文件未尽事宜由合同双方另外达成协议。</w:t>
      </w:r>
    </w:p>
    <w:p w14:paraId="345C9D03">
      <w:pPr>
        <w:pStyle w:val="11"/>
        <w:ind w:firstLine="562"/>
        <w:outlineLvl w:val="1"/>
        <w:rPr>
          <w:rFonts w:hint="default" w:ascii="仿宋" w:hAnsi="仿宋" w:eastAsia="仿宋" w:cs="仿宋"/>
          <w:b/>
          <w:bCs/>
          <w:sz w:val="28"/>
          <w:szCs w:val="28"/>
        </w:rPr>
      </w:pPr>
      <w:bookmarkStart w:id="65" w:name="_Toc26166"/>
      <w:r>
        <w:rPr>
          <w:rFonts w:ascii="仿宋" w:hAnsi="仿宋" w:eastAsia="仿宋" w:cs="仿宋"/>
          <w:b/>
          <w:bCs/>
          <w:sz w:val="28"/>
          <w:szCs w:val="28"/>
        </w:rPr>
        <w:t>投诉</w:t>
      </w:r>
      <w:bookmarkEnd w:id="65"/>
    </w:p>
    <w:p w14:paraId="60004CC9">
      <w:pPr>
        <w:ind w:firstLine="480"/>
        <w:textAlignment w:val="baseline"/>
        <w:rPr>
          <w:rFonts w:ascii="仿宋" w:hAnsi="仿宋" w:eastAsia="仿宋" w:cs="仿宋"/>
          <w:sz w:val="24"/>
          <w:szCs w:val="24"/>
        </w:rPr>
      </w:pPr>
      <w:r>
        <w:rPr>
          <w:rFonts w:hint="eastAsia" w:ascii="仿宋" w:hAnsi="仿宋" w:eastAsia="仿宋" w:cs="仿宋"/>
          <w:sz w:val="24"/>
          <w:szCs w:val="24"/>
        </w:rPr>
        <w:t>22.询比供应商和其他利害关系人认为本次询比活动违反法律、法规和规章规定的，有权向采购人有关监督部门投诉，投诉应当有明确的请求和必要的证明材料。</w:t>
      </w:r>
    </w:p>
    <w:p w14:paraId="068EACEA">
      <w:pPr>
        <w:ind w:firstLine="480"/>
        <w:textAlignment w:val="baseline"/>
        <w:rPr>
          <w:rFonts w:ascii="仿宋" w:hAnsi="仿宋" w:eastAsia="仿宋" w:cs="仿宋"/>
          <w:sz w:val="24"/>
          <w:szCs w:val="24"/>
        </w:rPr>
      </w:pPr>
      <w:r>
        <w:rPr>
          <w:rFonts w:hint="eastAsia" w:ascii="仿宋" w:hAnsi="仿宋" w:eastAsia="仿宋" w:cs="仿宋"/>
          <w:sz w:val="24"/>
          <w:szCs w:val="24"/>
        </w:rPr>
        <w:t>22.1询比供应商提出质疑的，应在询比响应截止时间结束后的3天内提出质疑，质疑遵行“谁主张谁举证”原则，质疑人须提出有效证明材料，没有证明材料且无法查实的质疑，采购人将不予受理。</w:t>
      </w:r>
    </w:p>
    <w:p w14:paraId="2A8C4415">
      <w:pPr>
        <w:adjustRightInd w:val="0"/>
        <w:snapToGrid w:val="0"/>
        <w:ind w:firstLine="480"/>
        <w:rPr>
          <w:rFonts w:ascii="仿宋" w:hAnsi="仿宋" w:eastAsia="仿宋" w:cs="仿宋"/>
          <w:sz w:val="24"/>
          <w:szCs w:val="24"/>
        </w:rPr>
      </w:pPr>
      <w:bookmarkStart w:id="66" w:name="_Toc14288"/>
      <w:r>
        <w:rPr>
          <w:rFonts w:hint="eastAsia" w:ascii="仿宋" w:hAnsi="仿宋" w:eastAsia="仿宋" w:cs="仿宋"/>
          <w:sz w:val="24"/>
          <w:szCs w:val="24"/>
        </w:rPr>
        <w:t>22.2质疑书应当由询比供应商法定代表人或其授权的询比供应商代表签字并加盖询比供应商单位公章，质疑书由授权的询比供应商代表签字的应附询比供应商法定代表人授权委托书。</w:t>
      </w:r>
    </w:p>
    <w:p w14:paraId="621CA082">
      <w:pPr>
        <w:adjustRightInd w:val="0"/>
        <w:snapToGrid w:val="0"/>
        <w:ind w:firstLine="562"/>
        <w:rPr>
          <w:rFonts w:ascii="仿宋" w:hAnsi="仿宋" w:eastAsia="仿宋" w:cs="仿宋"/>
          <w:b/>
          <w:bCs/>
          <w:sz w:val="28"/>
          <w:szCs w:val="28"/>
        </w:rPr>
      </w:pPr>
      <w:r>
        <w:rPr>
          <w:rFonts w:hint="eastAsia" w:ascii="仿宋" w:hAnsi="仿宋" w:eastAsia="仿宋" w:cs="仿宋"/>
          <w:b/>
          <w:bCs/>
          <w:sz w:val="28"/>
          <w:szCs w:val="28"/>
        </w:rPr>
        <w:t>重新询比和不再询比</w:t>
      </w:r>
    </w:p>
    <w:p w14:paraId="7F4694FB">
      <w:pPr>
        <w:adjustRightInd w:val="0"/>
        <w:snapToGrid w:val="0"/>
        <w:ind w:firstLine="480"/>
        <w:rPr>
          <w:rFonts w:ascii="仿宋_GB2312" w:hAnsi="仿宋_GB2312" w:eastAsia="仿宋_GB2312" w:cs="仿宋_GB2312"/>
          <w:sz w:val="24"/>
          <w:szCs w:val="24"/>
        </w:rPr>
      </w:pPr>
      <w:bookmarkStart w:id="67" w:name="_Toc2494"/>
      <w:r>
        <w:rPr>
          <w:rFonts w:hint="eastAsia" w:ascii="仿宋" w:hAnsi="仿宋" w:eastAsia="仿宋" w:cs="仿宋"/>
          <w:sz w:val="24"/>
          <w:szCs w:val="24"/>
        </w:rPr>
        <w:t>23.</w:t>
      </w:r>
      <w:bookmarkEnd w:id="67"/>
      <w:r>
        <w:rPr>
          <w:rFonts w:hint="eastAsia" w:ascii="仿宋" w:hAnsi="仿宋" w:eastAsia="仿宋" w:cs="仿宋"/>
          <w:sz w:val="24"/>
          <w:szCs w:val="24"/>
        </w:rPr>
        <w:t>重新询比后供应商仍少于2个或者所有询比被否决的，采购人可根据相关法律法规规定不再询比。</w:t>
      </w:r>
    </w:p>
    <w:p w14:paraId="51CE67C1">
      <w:pPr>
        <w:pStyle w:val="12"/>
        <w:ind w:firstLine="480"/>
        <w:rPr>
          <w:color w:val="auto"/>
        </w:rPr>
      </w:pPr>
    </w:p>
    <w:p w14:paraId="766F39A4">
      <w:pPr>
        <w:ind w:firstLine="0" w:firstLineChars="0"/>
        <w:jc w:val="center"/>
        <w:rPr>
          <w:rFonts w:ascii="仿宋_GB2312" w:hAnsi="仿宋_GB2312" w:eastAsia="仿宋_GB2312" w:cs="仿宋_GB2312"/>
          <w:b/>
          <w:sz w:val="32"/>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docGrid w:linePitch="285" w:charSpace="0"/>
        </w:sectPr>
      </w:pPr>
    </w:p>
    <w:p w14:paraId="24034350">
      <w:pPr>
        <w:ind w:firstLine="0" w:firstLineChars="0"/>
        <w:jc w:val="center"/>
        <w:rPr>
          <w:rFonts w:ascii="仿宋_GB2312" w:hAnsi="仿宋_GB2312" w:eastAsia="仿宋_GB2312" w:cs="仿宋_GB2312"/>
          <w:b/>
          <w:sz w:val="32"/>
        </w:rPr>
      </w:pPr>
      <w:r>
        <w:rPr>
          <w:rFonts w:hint="eastAsia" w:ascii="仿宋_GB2312" w:hAnsi="仿宋_GB2312" w:eastAsia="仿宋_GB2312" w:cs="仿宋_GB2312"/>
          <w:b/>
          <w:sz w:val="32"/>
        </w:rPr>
        <w:t>第三部分 采购内容及要求</w:t>
      </w:r>
    </w:p>
    <w:p w14:paraId="2C3A1BEC">
      <w:pPr>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技术要求</w:t>
      </w:r>
    </w:p>
    <w:p w14:paraId="4C4DE7A1">
      <w:pPr>
        <w:pStyle w:val="95"/>
        <w:numPr>
          <w:ilvl w:val="0"/>
          <w:numId w:val="3"/>
        </w:numPr>
        <w:ind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采购清单</w:t>
      </w:r>
    </w:p>
    <w:p w14:paraId="758FA503">
      <w:pPr>
        <w:pStyle w:val="2"/>
        <w:ind w:firstLine="640"/>
        <w:jc w:val="center"/>
        <w:rPr>
          <w:color w:val="auto"/>
          <w:sz w:val="32"/>
          <w:szCs w:val="32"/>
        </w:rPr>
      </w:pPr>
    </w:p>
    <w:p w14:paraId="1FDB37D7">
      <w:pPr>
        <w:pStyle w:val="2"/>
        <w:ind w:firstLine="640"/>
        <w:jc w:val="center"/>
        <w:rPr>
          <w:color w:val="auto"/>
          <w:sz w:val="32"/>
          <w:szCs w:val="32"/>
        </w:rPr>
      </w:pPr>
      <w:r>
        <w:rPr>
          <w:rFonts w:hint="eastAsia"/>
          <w:color w:val="auto"/>
          <w:sz w:val="32"/>
          <w:szCs w:val="32"/>
        </w:rPr>
        <w:t>采购清单及最高限价</w:t>
      </w:r>
    </w:p>
    <w:tbl>
      <w:tblPr>
        <w:tblStyle w:val="42"/>
        <w:tblpPr w:leftFromText="180" w:rightFromText="180" w:vertAnchor="text" w:horzAnchor="page" w:tblpXSpec="center" w:tblpY="99"/>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3"/>
        <w:gridCol w:w="1181"/>
        <w:gridCol w:w="1276"/>
        <w:gridCol w:w="708"/>
        <w:gridCol w:w="765"/>
        <w:gridCol w:w="1221"/>
        <w:gridCol w:w="1416"/>
        <w:gridCol w:w="1156"/>
      </w:tblGrid>
      <w:tr w14:paraId="0BE3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640" w:type="dxa"/>
            <w:vAlign w:val="center"/>
          </w:tcPr>
          <w:p w14:paraId="0C360F3F">
            <w:pPr>
              <w:widowControl/>
              <w:ind w:firstLine="0" w:firstLineChars="0"/>
              <w:jc w:val="center"/>
              <w:textAlignment w:val="center"/>
              <w:rPr>
                <w:rFonts w:ascii="宋体" w:hAnsi="宋体" w:cs="宋体"/>
                <w:sz w:val="24"/>
              </w:rPr>
            </w:pPr>
            <w:r>
              <w:rPr>
                <w:rFonts w:hint="eastAsia" w:ascii="宋体" w:hAnsi="宋体" w:cs="宋体"/>
                <w:b/>
                <w:kern w:val="0"/>
                <w:sz w:val="24"/>
              </w:rPr>
              <w:t>序号</w:t>
            </w:r>
          </w:p>
        </w:tc>
        <w:tc>
          <w:tcPr>
            <w:tcW w:w="1293" w:type="dxa"/>
            <w:vAlign w:val="center"/>
          </w:tcPr>
          <w:p w14:paraId="10F39D0F">
            <w:pPr>
              <w:pStyle w:val="28"/>
              <w:spacing w:line="560" w:lineRule="exact"/>
              <w:ind w:firstLine="0" w:firstLineChars="0"/>
              <w:jc w:val="center"/>
              <w:rPr>
                <w:rFonts w:ascii="仿宋_GB2312" w:hAnsi="仿宋_GB2312" w:eastAsia="仿宋_GB2312" w:cs="仿宋_GB2312"/>
                <w:sz w:val="24"/>
              </w:rPr>
            </w:pPr>
            <w:r>
              <w:rPr>
                <w:rFonts w:hint="eastAsia" w:ascii="宋体" w:hAnsi="宋体" w:cs="宋体"/>
                <w:b/>
                <w:kern w:val="0"/>
                <w:sz w:val="24"/>
              </w:rPr>
              <w:t>货物名称</w:t>
            </w:r>
          </w:p>
        </w:tc>
        <w:tc>
          <w:tcPr>
            <w:tcW w:w="1181" w:type="dxa"/>
            <w:vAlign w:val="center"/>
          </w:tcPr>
          <w:p w14:paraId="6CDD12A0">
            <w:pPr>
              <w:widowControl/>
              <w:ind w:firstLine="0" w:firstLineChars="0"/>
              <w:textAlignment w:val="center"/>
              <w:rPr>
                <w:rFonts w:ascii="仿宋_GB2312" w:hAnsi="仿宋_GB2312" w:eastAsia="仿宋_GB2312" w:cs="仿宋_GB2312"/>
                <w:sz w:val="24"/>
              </w:rPr>
            </w:pPr>
            <w:r>
              <w:rPr>
                <w:rFonts w:hint="eastAsia" w:ascii="宋体" w:hAnsi="宋体" w:cs="宋体"/>
                <w:b/>
                <w:kern w:val="0"/>
                <w:sz w:val="24"/>
              </w:rPr>
              <w:t>规格型号</w:t>
            </w:r>
          </w:p>
        </w:tc>
        <w:tc>
          <w:tcPr>
            <w:tcW w:w="1276" w:type="dxa"/>
            <w:vAlign w:val="center"/>
          </w:tcPr>
          <w:p w14:paraId="78207D95">
            <w:pPr>
              <w:widowControl/>
              <w:ind w:firstLine="0" w:firstLineChars="0"/>
              <w:jc w:val="center"/>
              <w:textAlignment w:val="center"/>
              <w:rPr>
                <w:rFonts w:ascii="宋体" w:hAnsi="宋体" w:cs="宋体"/>
                <w:sz w:val="24"/>
              </w:rPr>
            </w:pPr>
            <w:r>
              <w:rPr>
                <w:rFonts w:hint="eastAsia" w:ascii="宋体" w:hAnsi="宋体" w:cs="宋体"/>
                <w:b/>
                <w:kern w:val="0"/>
                <w:sz w:val="24"/>
              </w:rPr>
              <w:t>品牌厂家</w:t>
            </w:r>
          </w:p>
        </w:tc>
        <w:tc>
          <w:tcPr>
            <w:tcW w:w="708" w:type="dxa"/>
            <w:vAlign w:val="center"/>
          </w:tcPr>
          <w:p w14:paraId="117EA7E8">
            <w:pPr>
              <w:widowControl/>
              <w:ind w:firstLine="0" w:firstLineChars="0"/>
              <w:jc w:val="center"/>
              <w:textAlignment w:val="center"/>
              <w:rPr>
                <w:rFonts w:ascii="宋体" w:hAnsi="宋体" w:cs="宋体"/>
                <w:sz w:val="24"/>
              </w:rPr>
            </w:pPr>
            <w:r>
              <w:rPr>
                <w:rFonts w:hint="eastAsia" w:ascii="宋体" w:hAnsi="宋体" w:cs="宋体"/>
                <w:b/>
                <w:kern w:val="0"/>
                <w:sz w:val="24"/>
              </w:rPr>
              <w:t>计量</w:t>
            </w:r>
            <w:r>
              <w:rPr>
                <w:rFonts w:hint="eastAsia" w:ascii="宋体" w:hAnsi="宋体" w:cs="宋体"/>
                <w:b/>
                <w:kern w:val="0"/>
                <w:sz w:val="24"/>
              </w:rPr>
              <w:br w:type="textWrapping"/>
            </w:r>
            <w:r>
              <w:rPr>
                <w:rFonts w:hint="eastAsia" w:ascii="宋体" w:hAnsi="宋体" w:cs="宋体"/>
                <w:b/>
                <w:kern w:val="0"/>
                <w:sz w:val="24"/>
              </w:rPr>
              <w:t>单位</w:t>
            </w:r>
          </w:p>
        </w:tc>
        <w:tc>
          <w:tcPr>
            <w:tcW w:w="765" w:type="dxa"/>
            <w:vAlign w:val="center"/>
          </w:tcPr>
          <w:p w14:paraId="42FC1C9D">
            <w:pPr>
              <w:ind w:firstLine="0" w:firstLineChars="0"/>
              <w:jc w:val="center"/>
              <w:rPr>
                <w:rFonts w:ascii="宋体" w:hAnsi="宋体" w:cs="宋体"/>
                <w:sz w:val="24"/>
              </w:rPr>
            </w:pPr>
            <w:r>
              <w:rPr>
                <w:rFonts w:hint="eastAsia" w:ascii="宋体" w:hAnsi="宋体" w:cs="宋体"/>
                <w:b/>
                <w:kern w:val="0"/>
                <w:sz w:val="24"/>
              </w:rPr>
              <w:t>数量</w:t>
            </w:r>
          </w:p>
        </w:tc>
        <w:tc>
          <w:tcPr>
            <w:tcW w:w="1221" w:type="dxa"/>
            <w:vAlign w:val="center"/>
          </w:tcPr>
          <w:p w14:paraId="5CE288C0">
            <w:pPr>
              <w:spacing w:line="560" w:lineRule="exact"/>
              <w:ind w:firstLine="0" w:firstLineChars="0"/>
              <w:jc w:val="center"/>
              <w:rPr>
                <w:rFonts w:ascii="仿宋_GB2312" w:hAnsi="仿宋_GB2312" w:eastAsia="仿宋_GB2312" w:cs="仿宋_GB2312"/>
                <w:sz w:val="24"/>
              </w:rPr>
            </w:pPr>
            <w:r>
              <w:rPr>
                <w:rFonts w:hint="eastAsia" w:ascii="宋体" w:hAnsi="宋体" w:cs="宋体"/>
                <w:b/>
                <w:kern w:val="0"/>
                <w:sz w:val="24"/>
              </w:rPr>
              <w:t>预算单价</w:t>
            </w:r>
            <w:r>
              <w:rPr>
                <w:rFonts w:hint="eastAsia" w:ascii="宋体" w:hAnsi="宋体" w:cs="宋体"/>
                <w:b/>
                <w:kern w:val="0"/>
                <w:sz w:val="24"/>
              </w:rPr>
              <w:br w:type="textWrapping"/>
            </w:r>
            <w:r>
              <w:rPr>
                <w:rFonts w:hint="eastAsia" w:ascii="宋体" w:hAnsi="宋体" w:cs="宋体"/>
                <w:b/>
                <w:kern w:val="0"/>
                <w:sz w:val="24"/>
              </w:rPr>
              <w:t>（元）</w:t>
            </w:r>
          </w:p>
        </w:tc>
        <w:tc>
          <w:tcPr>
            <w:tcW w:w="1416" w:type="dxa"/>
            <w:vAlign w:val="center"/>
          </w:tcPr>
          <w:p w14:paraId="79A52628">
            <w:pPr>
              <w:spacing w:line="560" w:lineRule="exact"/>
              <w:ind w:firstLine="0" w:firstLineChars="0"/>
              <w:jc w:val="center"/>
              <w:rPr>
                <w:rFonts w:ascii="仿宋_GB2312" w:hAnsi="仿宋_GB2312" w:eastAsia="仿宋_GB2312" w:cs="仿宋_GB2312"/>
                <w:sz w:val="24"/>
              </w:rPr>
            </w:pPr>
            <w:r>
              <w:rPr>
                <w:rFonts w:hint="eastAsia" w:ascii="宋体" w:hAnsi="宋体" w:cs="宋体"/>
                <w:b/>
                <w:kern w:val="0"/>
                <w:sz w:val="24"/>
              </w:rPr>
              <w:t>预算合计（元）</w:t>
            </w:r>
          </w:p>
        </w:tc>
        <w:tc>
          <w:tcPr>
            <w:tcW w:w="1156" w:type="dxa"/>
            <w:vAlign w:val="center"/>
          </w:tcPr>
          <w:p w14:paraId="4FB5C8C3">
            <w:pPr>
              <w:widowControl/>
              <w:ind w:firstLine="0" w:firstLineChars="0"/>
              <w:jc w:val="center"/>
              <w:textAlignment w:val="center"/>
              <w:rPr>
                <w:rFonts w:ascii="宋体" w:hAnsi="宋体" w:cs="宋体"/>
                <w:sz w:val="24"/>
              </w:rPr>
            </w:pPr>
            <w:r>
              <w:rPr>
                <w:rFonts w:hint="eastAsia" w:ascii="宋体" w:hAnsi="宋体" w:cs="宋体"/>
                <w:b/>
                <w:kern w:val="0"/>
                <w:sz w:val="24"/>
              </w:rPr>
              <w:t>备注</w:t>
            </w:r>
          </w:p>
        </w:tc>
      </w:tr>
      <w:tr w14:paraId="0333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640" w:type="dxa"/>
            <w:vAlign w:val="center"/>
          </w:tcPr>
          <w:p w14:paraId="37F9FCD6">
            <w:pPr>
              <w:widowControl/>
              <w:ind w:firstLine="0" w:firstLineChars="0"/>
              <w:jc w:val="center"/>
              <w:textAlignment w:val="center"/>
              <w:rPr>
                <w:rFonts w:ascii="宋体" w:hAnsi="宋体" w:cs="宋体"/>
                <w:sz w:val="24"/>
              </w:rPr>
            </w:pPr>
            <w:r>
              <w:rPr>
                <w:rFonts w:hint="eastAsia" w:ascii="宋体" w:hAnsi="宋体" w:cs="宋体"/>
                <w:sz w:val="24"/>
              </w:rPr>
              <w:t>1</w:t>
            </w:r>
          </w:p>
        </w:tc>
        <w:tc>
          <w:tcPr>
            <w:tcW w:w="1293" w:type="dxa"/>
            <w:vAlign w:val="center"/>
          </w:tcPr>
          <w:p w14:paraId="0C656D65">
            <w:pPr>
              <w:pStyle w:val="28"/>
              <w:spacing w:line="5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扫地机器人</w:t>
            </w:r>
          </w:p>
        </w:tc>
        <w:tc>
          <w:tcPr>
            <w:tcW w:w="1181" w:type="dxa"/>
            <w:vAlign w:val="center"/>
          </w:tcPr>
          <w:p w14:paraId="2A227264">
            <w:pPr>
              <w:widowControl/>
              <w:ind w:firstLine="0" w:firstLineChars="0"/>
              <w:textAlignment w:val="center"/>
              <w:rPr>
                <w:rFonts w:ascii="宋体" w:hAnsi="宋体" w:cs="宋体"/>
                <w:sz w:val="24"/>
              </w:rPr>
            </w:pPr>
            <w:r>
              <w:rPr>
                <w:rFonts w:hint="eastAsia" w:ascii="仿宋_GB2312" w:hAnsi="仿宋_GB2312" w:eastAsia="仿宋_GB2312" w:cs="仿宋_GB2312"/>
                <w:sz w:val="24"/>
              </w:rPr>
              <w:t>X9（水箱版）</w:t>
            </w:r>
          </w:p>
        </w:tc>
        <w:tc>
          <w:tcPr>
            <w:tcW w:w="1276" w:type="dxa"/>
            <w:vAlign w:val="center"/>
          </w:tcPr>
          <w:p w14:paraId="068B30BC">
            <w:pPr>
              <w:widowControl/>
              <w:ind w:firstLine="0" w:firstLineChars="0"/>
              <w:jc w:val="center"/>
              <w:textAlignment w:val="center"/>
              <w:rPr>
                <w:rFonts w:ascii="宋体" w:hAnsi="宋体" w:cs="宋体"/>
                <w:sz w:val="24"/>
              </w:rPr>
            </w:pPr>
            <w:r>
              <w:rPr>
                <w:rFonts w:hint="eastAsia" w:ascii="宋体" w:hAnsi="宋体" w:cs="宋体"/>
                <w:sz w:val="24"/>
              </w:rPr>
              <w:t>科沃斯</w:t>
            </w:r>
          </w:p>
        </w:tc>
        <w:tc>
          <w:tcPr>
            <w:tcW w:w="708" w:type="dxa"/>
            <w:vAlign w:val="center"/>
          </w:tcPr>
          <w:p w14:paraId="24D95DF0">
            <w:pPr>
              <w:widowControl/>
              <w:ind w:firstLine="0" w:firstLineChars="0"/>
              <w:jc w:val="center"/>
              <w:textAlignment w:val="center"/>
              <w:rPr>
                <w:rFonts w:ascii="宋体" w:hAnsi="宋体" w:cs="宋体"/>
                <w:sz w:val="24"/>
              </w:rPr>
            </w:pPr>
            <w:r>
              <w:rPr>
                <w:rFonts w:hint="eastAsia" w:ascii="宋体" w:hAnsi="宋体" w:cs="宋体"/>
                <w:sz w:val="24"/>
              </w:rPr>
              <w:t>个</w:t>
            </w:r>
          </w:p>
        </w:tc>
        <w:tc>
          <w:tcPr>
            <w:tcW w:w="765" w:type="dxa"/>
            <w:vAlign w:val="center"/>
          </w:tcPr>
          <w:p w14:paraId="41F57829">
            <w:pPr>
              <w:ind w:firstLine="0" w:firstLineChars="0"/>
              <w:jc w:val="center"/>
              <w:rPr>
                <w:rFonts w:ascii="宋体" w:hAnsi="宋体" w:cs="宋体"/>
                <w:sz w:val="24"/>
              </w:rPr>
            </w:pPr>
            <w:r>
              <w:rPr>
                <w:rFonts w:hint="eastAsia" w:ascii="宋体" w:hAnsi="宋体" w:cs="宋体"/>
                <w:sz w:val="24"/>
              </w:rPr>
              <w:t>5</w:t>
            </w:r>
          </w:p>
        </w:tc>
        <w:tc>
          <w:tcPr>
            <w:tcW w:w="1221" w:type="dxa"/>
            <w:vAlign w:val="center"/>
          </w:tcPr>
          <w:p w14:paraId="010F8AAD">
            <w:pPr>
              <w:spacing w:line="560" w:lineRule="exact"/>
              <w:ind w:firstLine="0" w:firstLineChars="0"/>
              <w:jc w:val="center"/>
              <w:rPr>
                <w:rFonts w:ascii="宋体" w:hAnsi="宋体" w:cs="宋体"/>
                <w:sz w:val="24"/>
              </w:rPr>
            </w:pPr>
            <w:r>
              <w:rPr>
                <w:rFonts w:hint="eastAsia" w:ascii="仿宋_GB2312" w:hAnsi="仿宋_GB2312" w:eastAsia="仿宋_GB2312" w:cs="仿宋_GB2312"/>
                <w:sz w:val="24"/>
              </w:rPr>
              <w:t>4999</w:t>
            </w:r>
          </w:p>
        </w:tc>
        <w:tc>
          <w:tcPr>
            <w:tcW w:w="1416" w:type="dxa"/>
            <w:vAlign w:val="center"/>
          </w:tcPr>
          <w:p w14:paraId="4C47B0CA">
            <w:pPr>
              <w:spacing w:line="560" w:lineRule="exact"/>
              <w:ind w:firstLine="0" w:firstLineChars="0"/>
              <w:jc w:val="center"/>
              <w:rPr>
                <w:rFonts w:ascii="宋体" w:hAnsi="宋体" w:cs="宋体"/>
                <w:sz w:val="24"/>
              </w:rPr>
            </w:pPr>
            <w:r>
              <w:rPr>
                <w:rFonts w:hint="eastAsia" w:ascii="仿宋_GB2312" w:hAnsi="仿宋_GB2312" w:eastAsia="仿宋_GB2312" w:cs="仿宋_GB2312"/>
                <w:sz w:val="24"/>
              </w:rPr>
              <w:t>24995</w:t>
            </w:r>
          </w:p>
        </w:tc>
        <w:tc>
          <w:tcPr>
            <w:tcW w:w="1156" w:type="dxa"/>
            <w:vAlign w:val="center"/>
          </w:tcPr>
          <w:p w14:paraId="75561A16">
            <w:pPr>
              <w:widowControl/>
              <w:ind w:firstLine="480"/>
              <w:jc w:val="center"/>
              <w:textAlignment w:val="center"/>
              <w:rPr>
                <w:rFonts w:ascii="宋体" w:hAnsi="宋体" w:cs="宋体"/>
                <w:sz w:val="24"/>
              </w:rPr>
            </w:pPr>
          </w:p>
        </w:tc>
      </w:tr>
      <w:tr w14:paraId="1F67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640" w:type="dxa"/>
            <w:vAlign w:val="center"/>
          </w:tcPr>
          <w:p w14:paraId="6FC45BFC">
            <w:pPr>
              <w:widowControl/>
              <w:ind w:firstLine="0" w:firstLineChars="0"/>
              <w:jc w:val="center"/>
              <w:textAlignment w:val="center"/>
              <w:rPr>
                <w:rFonts w:ascii="宋体" w:hAnsi="宋体" w:cs="宋体"/>
                <w:sz w:val="24"/>
              </w:rPr>
            </w:pPr>
            <w:r>
              <w:rPr>
                <w:rFonts w:hint="eastAsia" w:ascii="宋体" w:hAnsi="宋体" w:cs="宋体"/>
                <w:sz w:val="24"/>
              </w:rPr>
              <w:t>2</w:t>
            </w:r>
          </w:p>
        </w:tc>
        <w:tc>
          <w:tcPr>
            <w:tcW w:w="1293" w:type="dxa"/>
            <w:vAlign w:val="center"/>
          </w:tcPr>
          <w:p w14:paraId="5B09C663">
            <w:pPr>
              <w:pStyle w:val="28"/>
              <w:spacing w:line="5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空调</w:t>
            </w:r>
          </w:p>
        </w:tc>
        <w:tc>
          <w:tcPr>
            <w:tcW w:w="1181" w:type="dxa"/>
            <w:vAlign w:val="center"/>
          </w:tcPr>
          <w:p w14:paraId="210CADD7">
            <w:pPr>
              <w:widowControl/>
              <w:ind w:firstLine="0" w:firstLineChars="0"/>
              <w:textAlignment w:val="center"/>
              <w:rPr>
                <w:rFonts w:ascii="宋体" w:hAnsi="宋体" w:cs="宋体"/>
                <w:sz w:val="24"/>
              </w:rPr>
            </w:pPr>
            <w:r>
              <w:rPr>
                <w:rFonts w:hint="eastAsia" w:ascii="仿宋_GB2312" w:hAnsi="仿宋_GB2312" w:eastAsia="仿宋_GB2312" w:cs="仿宋_GB2312"/>
                <w:sz w:val="24"/>
              </w:rPr>
              <w:t>云佳1.5匹</w:t>
            </w:r>
          </w:p>
        </w:tc>
        <w:tc>
          <w:tcPr>
            <w:tcW w:w="1276" w:type="dxa"/>
            <w:vAlign w:val="center"/>
          </w:tcPr>
          <w:p w14:paraId="7E75DDD4">
            <w:pPr>
              <w:widowControl/>
              <w:ind w:firstLine="0" w:firstLineChars="0"/>
              <w:jc w:val="center"/>
              <w:textAlignment w:val="center"/>
              <w:rPr>
                <w:rFonts w:ascii="宋体" w:hAnsi="宋体" w:cs="宋体"/>
                <w:sz w:val="24"/>
              </w:rPr>
            </w:pPr>
            <w:r>
              <w:rPr>
                <w:rFonts w:hint="eastAsia" w:ascii="宋体" w:hAnsi="宋体" w:cs="宋体"/>
                <w:sz w:val="24"/>
              </w:rPr>
              <w:t>格力</w:t>
            </w:r>
          </w:p>
        </w:tc>
        <w:tc>
          <w:tcPr>
            <w:tcW w:w="708" w:type="dxa"/>
            <w:vAlign w:val="center"/>
          </w:tcPr>
          <w:p w14:paraId="0ACC0E39">
            <w:pPr>
              <w:widowControl/>
              <w:ind w:firstLine="0" w:firstLineChars="0"/>
              <w:jc w:val="center"/>
              <w:textAlignment w:val="center"/>
              <w:rPr>
                <w:rFonts w:ascii="宋体" w:hAnsi="宋体" w:cs="宋体"/>
                <w:sz w:val="24"/>
              </w:rPr>
            </w:pPr>
            <w:r>
              <w:rPr>
                <w:rFonts w:hint="eastAsia" w:ascii="宋体" w:hAnsi="宋体" w:cs="宋体"/>
                <w:sz w:val="24"/>
              </w:rPr>
              <w:t>台</w:t>
            </w:r>
          </w:p>
        </w:tc>
        <w:tc>
          <w:tcPr>
            <w:tcW w:w="765" w:type="dxa"/>
            <w:vAlign w:val="center"/>
          </w:tcPr>
          <w:p w14:paraId="514A4C17">
            <w:pPr>
              <w:ind w:firstLine="0" w:firstLineChars="0"/>
              <w:jc w:val="center"/>
              <w:rPr>
                <w:rFonts w:ascii="宋体" w:hAnsi="宋体" w:cs="宋体"/>
                <w:sz w:val="24"/>
              </w:rPr>
            </w:pPr>
            <w:r>
              <w:rPr>
                <w:rFonts w:hint="eastAsia" w:ascii="宋体" w:hAnsi="宋体" w:cs="宋体"/>
                <w:sz w:val="24"/>
              </w:rPr>
              <w:t>7</w:t>
            </w:r>
          </w:p>
        </w:tc>
        <w:tc>
          <w:tcPr>
            <w:tcW w:w="1221" w:type="dxa"/>
            <w:vAlign w:val="center"/>
          </w:tcPr>
          <w:p w14:paraId="2A55EEB7">
            <w:pPr>
              <w:spacing w:line="560" w:lineRule="exact"/>
              <w:ind w:firstLine="0" w:firstLineChars="0"/>
              <w:jc w:val="center"/>
              <w:rPr>
                <w:rFonts w:ascii="宋体" w:hAnsi="宋体" w:cs="宋体"/>
                <w:sz w:val="24"/>
              </w:rPr>
            </w:pPr>
            <w:r>
              <w:rPr>
                <w:rFonts w:hint="eastAsia" w:ascii="仿宋_GB2312" w:hAnsi="仿宋_GB2312" w:eastAsia="仿宋_GB2312" w:cs="仿宋_GB2312"/>
                <w:sz w:val="24"/>
              </w:rPr>
              <w:t>2699</w:t>
            </w:r>
          </w:p>
        </w:tc>
        <w:tc>
          <w:tcPr>
            <w:tcW w:w="1416" w:type="dxa"/>
            <w:vAlign w:val="center"/>
          </w:tcPr>
          <w:p w14:paraId="3DB3AC96">
            <w:pPr>
              <w:spacing w:line="560" w:lineRule="exact"/>
              <w:ind w:firstLine="0" w:firstLineChars="0"/>
              <w:jc w:val="center"/>
              <w:rPr>
                <w:rFonts w:ascii="宋体" w:hAnsi="宋体" w:cs="宋体"/>
                <w:sz w:val="24"/>
              </w:rPr>
            </w:pPr>
            <w:r>
              <w:rPr>
                <w:rFonts w:hint="eastAsia" w:ascii="仿宋_GB2312" w:hAnsi="仿宋_GB2312" w:eastAsia="仿宋_GB2312" w:cs="仿宋_GB2312"/>
                <w:sz w:val="24"/>
              </w:rPr>
              <w:t>18893</w:t>
            </w:r>
          </w:p>
        </w:tc>
        <w:tc>
          <w:tcPr>
            <w:tcW w:w="1156" w:type="dxa"/>
            <w:vAlign w:val="center"/>
          </w:tcPr>
          <w:p w14:paraId="30F0C29F">
            <w:pPr>
              <w:widowControl/>
              <w:ind w:firstLine="480"/>
              <w:jc w:val="center"/>
              <w:textAlignment w:val="center"/>
              <w:rPr>
                <w:rFonts w:ascii="宋体" w:hAnsi="宋体" w:cs="宋体"/>
                <w:sz w:val="24"/>
              </w:rPr>
            </w:pPr>
          </w:p>
        </w:tc>
      </w:tr>
    </w:tbl>
    <w:p w14:paraId="6966CB5A">
      <w:pPr>
        <w:widowControl/>
        <w:spacing w:line="240" w:lineRule="auto"/>
        <w:ind w:firstLine="0" w:firstLineChars="0"/>
        <w:rPr>
          <w:rFonts w:ascii="仿宋" w:hAnsi="仿宋" w:eastAsia="仿宋" w:cs="仿宋"/>
          <w:kern w:val="0"/>
          <w:sz w:val="24"/>
          <w:szCs w:val="24"/>
          <w:u w:val="single"/>
          <w:lang w:bidi="ar"/>
        </w:rPr>
      </w:pPr>
    </w:p>
    <w:p w14:paraId="7C40BE6E">
      <w:pPr>
        <w:widowControl/>
        <w:spacing w:line="240" w:lineRule="auto"/>
        <w:ind w:firstLine="0" w:firstLineChars="0"/>
        <w:rPr>
          <w:rFonts w:ascii="仿宋" w:hAnsi="仿宋" w:eastAsia="仿宋" w:cs="仿宋"/>
          <w:kern w:val="0"/>
          <w:sz w:val="24"/>
          <w:szCs w:val="24"/>
          <w:u w:val="single"/>
          <w:lang w:bidi="ar"/>
        </w:rPr>
      </w:pPr>
    </w:p>
    <w:p w14:paraId="3FC68E68">
      <w:pPr>
        <w:widowControl/>
        <w:spacing w:line="240" w:lineRule="auto"/>
        <w:ind w:firstLine="0" w:firstLineChars="0"/>
        <w:rPr>
          <w:rFonts w:ascii="仿宋" w:hAnsi="仿宋" w:eastAsia="仿宋" w:cs="仿宋"/>
          <w:kern w:val="0"/>
          <w:sz w:val="24"/>
          <w:szCs w:val="24"/>
          <w:u w:val="single"/>
          <w:lang w:bidi="ar"/>
        </w:rPr>
      </w:pPr>
      <w:r>
        <w:rPr>
          <w:rFonts w:hint="eastAsia" w:ascii="仿宋" w:hAnsi="仿宋" w:eastAsia="仿宋" w:cs="仿宋"/>
          <w:kern w:val="0"/>
          <w:sz w:val="24"/>
          <w:szCs w:val="24"/>
          <w:u w:val="single"/>
          <w:lang w:bidi="ar"/>
        </w:rPr>
        <w:t>注：</w:t>
      </w:r>
    </w:p>
    <w:p w14:paraId="49B141CC">
      <w:pPr>
        <w:widowControl/>
        <w:spacing w:line="240" w:lineRule="auto"/>
        <w:ind w:firstLine="480"/>
        <w:rPr>
          <w:rFonts w:ascii="仿宋" w:hAnsi="仿宋" w:eastAsia="仿宋" w:cs="仿宋"/>
          <w:bCs/>
          <w:kern w:val="0"/>
          <w:sz w:val="24"/>
          <w:szCs w:val="24"/>
          <w:u w:val="single"/>
          <w:lang w:bidi="ar"/>
        </w:rPr>
      </w:pPr>
      <w:r>
        <w:rPr>
          <w:rFonts w:hint="eastAsia" w:ascii="仿宋" w:hAnsi="仿宋" w:eastAsia="仿宋" w:cs="仿宋"/>
          <w:bCs/>
          <w:kern w:val="0"/>
          <w:sz w:val="24"/>
          <w:szCs w:val="24"/>
          <w:u w:val="single"/>
          <w:lang w:bidi="ar"/>
        </w:rPr>
        <w:t>供应商需浏览本表，报价所填价格（含税）不能超过该文件标注的采购限制价（含税）。</w:t>
      </w:r>
    </w:p>
    <w:p w14:paraId="63FA5FAB">
      <w:pPr>
        <w:pStyle w:val="2"/>
        <w:ind w:firstLine="480"/>
        <w:rPr>
          <w:color w:val="auto"/>
        </w:rPr>
        <w:sectPr>
          <w:pgSz w:w="11906" w:h="16838"/>
          <w:pgMar w:top="1440" w:right="1800" w:bottom="1440" w:left="1800" w:header="851" w:footer="992" w:gutter="0"/>
          <w:cols w:space="720" w:num="1"/>
          <w:docGrid w:type="lines" w:linePitch="312" w:charSpace="0"/>
        </w:sectPr>
      </w:pPr>
    </w:p>
    <w:bookmarkEnd w:id="46"/>
    <w:bookmarkEnd w:id="47"/>
    <w:bookmarkEnd w:id="48"/>
    <w:bookmarkEnd w:id="49"/>
    <w:bookmarkEnd w:id="66"/>
    <w:p w14:paraId="173515EA">
      <w:pPr>
        <w:ind w:firstLine="0" w:firstLineChars="0"/>
        <w:jc w:val="center"/>
        <w:rPr>
          <w:rFonts w:ascii="仿宋" w:hAnsi="仿宋" w:eastAsia="仿宋" w:cs="仿宋"/>
          <w:sz w:val="24"/>
          <w:szCs w:val="24"/>
        </w:rPr>
      </w:pPr>
      <w:bookmarkStart w:id="68" w:name="_Toc30943"/>
      <w:bookmarkStart w:id="69" w:name="_Toc18940"/>
      <w:bookmarkStart w:id="70" w:name="_Toc4759"/>
      <w:bookmarkStart w:id="71" w:name="_Toc8995"/>
      <w:bookmarkStart w:id="72" w:name="_Toc30322"/>
      <w:r>
        <w:rPr>
          <w:rFonts w:hint="eastAsia" w:ascii="仿宋_GB2312" w:hAnsi="仿宋_GB2312" w:eastAsia="仿宋_GB2312" w:cs="仿宋_GB2312"/>
          <w:b/>
          <w:bCs/>
          <w:sz w:val="32"/>
          <w:szCs w:val="32"/>
        </w:rPr>
        <w:t>第二节 商务要求</w:t>
      </w:r>
    </w:p>
    <w:p w14:paraId="6A966FF9">
      <w:pPr>
        <w:snapToGrid w:val="0"/>
        <w:ind w:firstLine="560"/>
        <w:rPr>
          <w:rFonts w:ascii="仿宋" w:hAnsi="仿宋" w:eastAsia="仿宋" w:cs="仿宋"/>
          <w:sz w:val="28"/>
          <w:szCs w:val="28"/>
        </w:rPr>
      </w:pPr>
      <w:r>
        <w:rPr>
          <w:rFonts w:hint="eastAsia" w:ascii="仿宋" w:hAnsi="仿宋" w:eastAsia="仿宋" w:cs="仿宋"/>
          <w:sz w:val="28"/>
          <w:szCs w:val="28"/>
        </w:rPr>
        <w:t>1.交货期：</w:t>
      </w:r>
      <w:r>
        <w:rPr>
          <w:rFonts w:hint="eastAsia" w:ascii="仿宋" w:hAnsi="仿宋" w:eastAsia="仿宋" w:cs="仿宋"/>
          <w:sz w:val="28"/>
          <w:szCs w:val="28"/>
          <w:u w:val="single"/>
        </w:rPr>
        <w:t>接采购人通知之日起10日历天内完成供货</w:t>
      </w:r>
      <w:r>
        <w:rPr>
          <w:rFonts w:hint="eastAsia" w:ascii="仿宋" w:hAnsi="仿宋" w:eastAsia="仿宋" w:cs="仿宋"/>
          <w:sz w:val="28"/>
          <w:szCs w:val="28"/>
        </w:rPr>
        <w:t>。</w:t>
      </w:r>
    </w:p>
    <w:p w14:paraId="2852859D">
      <w:pPr>
        <w:ind w:firstLine="560"/>
        <w:jc w:val="both"/>
        <w:rPr>
          <w:rFonts w:ascii="仿宋" w:hAnsi="仿宋" w:eastAsia="仿宋" w:cs="仿宋"/>
          <w:sz w:val="28"/>
          <w:szCs w:val="28"/>
        </w:rPr>
      </w:pPr>
      <w:r>
        <w:rPr>
          <w:rFonts w:hint="eastAsia" w:ascii="仿宋" w:hAnsi="仿宋" w:eastAsia="仿宋" w:cs="仿宋"/>
          <w:sz w:val="28"/>
          <w:szCs w:val="28"/>
        </w:rPr>
        <w:t>2.交货地点：</w:t>
      </w:r>
      <w:r>
        <w:rPr>
          <w:rFonts w:hint="eastAsia" w:ascii="仿宋" w:hAnsi="仿宋" w:eastAsia="仿宋" w:cs="仿宋"/>
          <w:sz w:val="28"/>
          <w:szCs w:val="28"/>
          <w:u w:val="single"/>
        </w:rPr>
        <w:t>贵州省遵义市</w:t>
      </w:r>
      <w:r>
        <w:rPr>
          <w:rFonts w:hint="eastAsia" w:ascii="仿宋" w:hAnsi="仿宋" w:eastAsia="仿宋" w:cs="仿宋"/>
          <w:sz w:val="28"/>
          <w:szCs w:val="28"/>
        </w:rPr>
        <w:t>。</w:t>
      </w:r>
    </w:p>
    <w:p w14:paraId="00DCAFEE">
      <w:pPr>
        <w:snapToGrid w:val="0"/>
        <w:ind w:firstLine="560"/>
        <w:rPr>
          <w:rFonts w:ascii="仿宋" w:hAnsi="仿宋" w:eastAsia="仿宋" w:cs="仿宋"/>
          <w:sz w:val="28"/>
          <w:szCs w:val="28"/>
        </w:rPr>
        <w:sectPr>
          <w:footnotePr>
            <w:pos w:val="beneathText"/>
          </w:footnotePr>
          <w:pgSz w:w="11906" w:h="16838"/>
          <w:pgMar w:top="1304" w:right="1588" w:bottom="1304" w:left="1588" w:header="720" w:footer="720" w:gutter="0"/>
          <w:cols w:space="720" w:num="1"/>
          <w:docGrid w:linePitch="285" w:charSpace="0"/>
        </w:sectPr>
      </w:pPr>
      <w:r>
        <w:rPr>
          <w:rFonts w:hint="eastAsia" w:ascii="仿宋" w:hAnsi="仿宋" w:eastAsia="仿宋" w:cs="仿宋"/>
          <w:sz w:val="28"/>
          <w:szCs w:val="28"/>
        </w:rPr>
        <w:t>3.质量标准：</w:t>
      </w:r>
      <w:r>
        <w:rPr>
          <w:rFonts w:hint="eastAsia" w:ascii="仿宋" w:hAnsi="仿宋" w:eastAsia="仿宋" w:cs="仿宋"/>
          <w:sz w:val="28"/>
          <w:szCs w:val="28"/>
          <w:u w:val="single"/>
        </w:rPr>
        <w:t>符合国家、行业有关质量标准及采购人要求</w:t>
      </w:r>
    </w:p>
    <w:p w14:paraId="2D55F369">
      <w:pPr>
        <w:ind w:firstLine="0" w:firstLineChars="0"/>
        <w:jc w:val="center"/>
        <w:rPr>
          <w:rFonts w:ascii="仿宋_GB2312" w:hAnsi="仿宋_GB2312" w:eastAsia="仿宋_GB2312" w:cs="仿宋_GB2312"/>
          <w:lang w:bidi="ar"/>
        </w:rPr>
      </w:pPr>
      <w:r>
        <w:rPr>
          <w:rFonts w:hint="eastAsia" w:ascii="仿宋_GB2312" w:hAnsi="仿宋_GB2312" w:eastAsia="仿宋_GB2312" w:cs="仿宋_GB2312"/>
          <w:b/>
          <w:sz w:val="32"/>
        </w:rPr>
        <w:t>第四部分评审标准及办法</w:t>
      </w:r>
      <w:bookmarkEnd w:id="44"/>
      <w:bookmarkEnd w:id="68"/>
      <w:bookmarkEnd w:id="69"/>
      <w:bookmarkEnd w:id="70"/>
      <w:bookmarkEnd w:id="71"/>
      <w:bookmarkEnd w:id="72"/>
      <w:bookmarkStart w:id="73" w:name="第八部分"/>
    </w:p>
    <w:p w14:paraId="5567D497">
      <w:pPr>
        <w:spacing w:line="460" w:lineRule="exact"/>
        <w:ind w:firstLine="482"/>
        <w:outlineLvl w:val="1"/>
        <w:rPr>
          <w:rFonts w:ascii="仿宋" w:hAnsi="仿宋" w:eastAsia="仿宋" w:cs="仿宋"/>
          <w:b/>
          <w:bCs/>
          <w:sz w:val="24"/>
          <w:szCs w:val="24"/>
        </w:rPr>
      </w:pPr>
      <w:bookmarkStart w:id="74" w:name="_Toc3156"/>
      <w:bookmarkStart w:id="75" w:name="_Toc22903"/>
      <w:r>
        <w:rPr>
          <w:rFonts w:hint="eastAsia" w:ascii="仿宋" w:hAnsi="仿宋" w:eastAsia="仿宋" w:cs="仿宋"/>
          <w:b/>
          <w:bCs/>
          <w:sz w:val="24"/>
          <w:szCs w:val="24"/>
        </w:rPr>
        <w:t>一、评审办法</w:t>
      </w:r>
      <w:bookmarkEnd w:id="74"/>
      <w:bookmarkEnd w:id="75"/>
    </w:p>
    <w:p w14:paraId="0B539B35">
      <w:pPr>
        <w:spacing w:line="460" w:lineRule="exact"/>
        <w:ind w:firstLine="48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u w:val="single"/>
        </w:rPr>
        <w:t>以询比标包总报价确定成交供应商</w:t>
      </w:r>
      <w:r>
        <w:rPr>
          <w:rFonts w:hint="eastAsia" w:ascii="仿宋" w:hAnsi="仿宋" w:eastAsia="仿宋" w:cs="仿宋"/>
          <w:sz w:val="24"/>
          <w:szCs w:val="24"/>
        </w:rPr>
        <w:t>。</w:t>
      </w:r>
    </w:p>
    <w:p w14:paraId="7E49C548">
      <w:pPr>
        <w:spacing w:line="460" w:lineRule="exact"/>
        <w:ind w:firstLine="482"/>
        <w:outlineLvl w:val="1"/>
        <w:rPr>
          <w:rFonts w:ascii="仿宋" w:hAnsi="仿宋" w:eastAsia="仿宋" w:cs="仿宋"/>
          <w:b/>
          <w:bCs/>
          <w:sz w:val="24"/>
          <w:szCs w:val="24"/>
        </w:rPr>
      </w:pPr>
      <w:bookmarkStart w:id="76" w:name="_Toc12874"/>
      <w:bookmarkStart w:id="77" w:name="_Toc1516"/>
      <w:r>
        <w:rPr>
          <w:rFonts w:hint="eastAsia" w:ascii="仿宋" w:hAnsi="仿宋" w:eastAsia="仿宋" w:cs="仿宋"/>
          <w:b/>
          <w:bCs/>
          <w:sz w:val="24"/>
          <w:szCs w:val="24"/>
        </w:rPr>
        <w:t>二、评分因素</w:t>
      </w:r>
      <w:bookmarkEnd w:id="76"/>
      <w:bookmarkEnd w:id="77"/>
    </w:p>
    <w:p w14:paraId="6F224FD1">
      <w:pPr>
        <w:spacing w:line="460" w:lineRule="exact"/>
        <w:ind w:firstLine="480"/>
        <w:rPr>
          <w:rFonts w:ascii="仿宋" w:hAnsi="仿宋" w:eastAsia="仿宋" w:cs="仿宋"/>
          <w:sz w:val="24"/>
          <w:szCs w:val="24"/>
        </w:rPr>
      </w:pPr>
      <w:r>
        <w:rPr>
          <w:rFonts w:hint="eastAsia" w:ascii="仿宋" w:hAnsi="仿宋" w:eastAsia="仿宋" w:cs="仿宋"/>
          <w:sz w:val="24"/>
          <w:szCs w:val="24"/>
        </w:rPr>
        <w:t>评分的因素为报价分，价低者中标。</w:t>
      </w:r>
    </w:p>
    <w:p w14:paraId="125CFE17">
      <w:pPr>
        <w:numPr>
          <w:ilvl w:val="0"/>
          <w:numId w:val="4"/>
        </w:numPr>
        <w:spacing w:line="460" w:lineRule="exact"/>
        <w:ind w:firstLine="482"/>
        <w:outlineLvl w:val="1"/>
        <w:rPr>
          <w:rFonts w:ascii="仿宋" w:hAnsi="仿宋" w:eastAsia="仿宋" w:cs="仿宋"/>
          <w:b/>
          <w:bCs/>
          <w:szCs w:val="24"/>
        </w:rPr>
      </w:pPr>
      <w:bookmarkStart w:id="78" w:name="_Toc11019"/>
      <w:r>
        <w:rPr>
          <w:rFonts w:hint="eastAsia" w:ascii="仿宋" w:hAnsi="仿宋" w:eastAsia="仿宋" w:cs="仿宋"/>
          <w:b/>
          <w:bCs/>
          <w:sz w:val="24"/>
          <w:szCs w:val="24"/>
        </w:rPr>
        <w:t>初步审查表</w:t>
      </w:r>
      <w:bookmarkEnd w:id="78"/>
    </w:p>
    <w:p w14:paraId="148C60E5">
      <w:pPr>
        <w:pStyle w:val="20"/>
        <w:ind w:firstLine="0" w:firstLineChars="0"/>
        <w:jc w:val="center"/>
      </w:pPr>
      <w:r>
        <w:rPr>
          <w:rFonts w:hint="eastAsia" w:ascii="仿宋" w:hAnsi="仿宋" w:eastAsia="仿宋" w:cs="仿宋"/>
          <w:b/>
          <w:bCs/>
          <w:szCs w:val="24"/>
        </w:rPr>
        <w:t>初步审查表</w:t>
      </w:r>
    </w:p>
    <w:tbl>
      <w:tblPr>
        <w:tblStyle w:val="42"/>
        <w:tblpPr w:leftFromText="180" w:rightFromText="180" w:vertAnchor="text" w:horzAnchor="page" w:tblpX="1480" w:tblpY="458"/>
        <w:tblOverlap w:val="never"/>
        <w:tblW w:w="9508" w:type="dxa"/>
        <w:tblInd w:w="0" w:type="dxa"/>
        <w:tblLayout w:type="fixed"/>
        <w:tblCellMar>
          <w:top w:w="0" w:type="dxa"/>
          <w:left w:w="108" w:type="dxa"/>
          <w:bottom w:w="0" w:type="dxa"/>
          <w:right w:w="108" w:type="dxa"/>
        </w:tblCellMar>
      </w:tblPr>
      <w:tblGrid>
        <w:gridCol w:w="808"/>
        <w:gridCol w:w="1126"/>
        <w:gridCol w:w="7574"/>
      </w:tblGrid>
      <w:tr w14:paraId="2A6206AB">
        <w:tblPrEx>
          <w:tblCellMar>
            <w:top w:w="0" w:type="dxa"/>
            <w:left w:w="108" w:type="dxa"/>
            <w:bottom w:w="0" w:type="dxa"/>
            <w:right w:w="108" w:type="dxa"/>
          </w:tblCellMar>
        </w:tblPrEx>
        <w:trPr>
          <w:trHeight w:val="112" w:hRule="atLeast"/>
        </w:trPr>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86DEEEE">
            <w:pPr>
              <w:widowControl/>
              <w:ind w:firstLine="0" w:firstLineChars="0"/>
              <w:jc w:val="center"/>
              <w:rPr>
                <w:rFonts w:ascii="仿宋" w:hAnsi="仿宋" w:eastAsia="仿宋" w:cs="仿宋"/>
                <w:b/>
                <w:sz w:val="24"/>
                <w:szCs w:val="24"/>
              </w:rPr>
            </w:pPr>
            <w:bookmarkStart w:id="79" w:name="_Toc8851"/>
            <w:bookmarkStart w:id="80" w:name="_Toc4072"/>
            <w:bookmarkStart w:id="81" w:name="_Toc31785"/>
            <w:r>
              <w:rPr>
                <w:rFonts w:hint="eastAsia" w:ascii="仿宋" w:hAnsi="仿宋" w:eastAsia="仿宋" w:cs="仿宋"/>
                <w:b/>
                <w:sz w:val="24"/>
                <w:szCs w:val="24"/>
                <w:lang w:bidi="ar"/>
              </w:rPr>
              <w:t>1</w:t>
            </w:r>
          </w:p>
        </w:tc>
        <w:tc>
          <w:tcPr>
            <w:tcW w:w="1126" w:type="dxa"/>
            <w:tcBorders>
              <w:top w:val="single" w:color="auto" w:sz="4" w:space="0"/>
              <w:left w:val="single" w:color="auto" w:sz="4" w:space="0"/>
              <w:bottom w:val="single" w:color="auto" w:sz="4" w:space="0"/>
              <w:right w:val="single" w:color="auto" w:sz="4" w:space="0"/>
            </w:tcBorders>
            <w:shd w:val="clear" w:color="auto" w:fill="FFFFFF"/>
            <w:vAlign w:val="center"/>
          </w:tcPr>
          <w:p w14:paraId="5C741413">
            <w:pPr>
              <w:widowControl/>
              <w:ind w:firstLine="0" w:firstLineChars="0"/>
              <w:jc w:val="center"/>
              <w:rPr>
                <w:rFonts w:ascii="仿宋" w:hAnsi="仿宋" w:eastAsia="仿宋" w:cs="仿宋"/>
                <w:sz w:val="24"/>
                <w:szCs w:val="24"/>
                <w:lang w:bidi="ar"/>
              </w:rPr>
            </w:pPr>
            <w:r>
              <w:rPr>
                <w:rFonts w:hint="eastAsia" w:ascii="仿宋" w:hAnsi="仿宋" w:eastAsia="仿宋" w:cs="仿宋"/>
                <w:sz w:val="24"/>
                <w:szCs w:val="24"/>
                <w:lang w:bidi="ar"/>
              </w:rPr>
              <w:t>资格审查</w:t>
            </w:r>
          </w:p>
        </w:tc>
        <w:tc>
          <w:tcPr>
            <w:tcW w:w="7574" w:type="dxa"/>
            <w:tcBorders>
              <w:top w:val="single" w:color="auto" w:sz="4" w:space="0"/>
              <w:left w:val="single" w:color="auto" w:sz="4" w:space="0"/>
              <w:bottom w:val="single" w:color="auto" w:sz="4" w:space="0"/>
              <w:right w:val="single" w:color="auto" w:sz="4" w:space="0"/>
            </w:tcBorders>
            <w:shd w:val="clear" w:color="auto" w:fill="FFFFFF"/>
            <w:vAlign w:val="center"/>
          </w:tcPr>
          <w:p w14:paraId="6C330127">
            <w:pPr>
              <w:ind w:firstLine="420"/>
            </w:pPr>
          </w:p>
          <w:p w14:paraId="7BC036B7">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1.具有中华人民共和国境内依法登记注册的独立法人资格，具有独立承担民事责任的能力。提供有效的营业执照副本复印件或扫描件加盖供应商公章（鲜章或电子印章）；</w:t>
            </w:r>
          </w:p>
          <w:p w14:paraId="18000CEF">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2.具有依法缴纳税收和社会保障资金的良好记录（新成立不足3个月的供应商本项不作要求）。提供2024年1月至本项目响应文件递交截止时间前任意连续三个月缴纳税收和社会保障资金凭证等相关资料复印件或扫描件加盖供应商单位公章（鲜章或电子印章）；</w:t>
            </w:r>
          </w:p>
          <w:p w14:paraId="54FCE971">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3.近三年（2022年1月1日至本项目响应文件递交截止时间）供应商未发生过一般及以上质量或安全事故。供应商提供承诺，并加盖供应商单位公章（鲜章或电子印章）；</w:t>
            </w:r>
          </w:p>
          <w:p w14:paraId="05946BDF">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4.具有履行合同所必备的设备和技术能力。供应商提供承诺，并加盖供应商单位公章（鲜章或电子印章）；</w:t>
            </w:r>
          </w:p>
          <w:p w14:paraId="29FAF8FE">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5.本项目不接受的供应商：</w:t>
            </w:r>
          </w:p>
          <w:p w14:paraId="1C2EFDD8">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（1）单位负责人为同一人或存在控股、管理关系的不同供应商不得同时参与本项目询比。供应商提供承诺，并加盖供应商单位公章（鲜章或电子印章）；</w:t>
            </w:r>
          </w:p>
          <w:p w14:paraId="51CD0B94">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（2）被责令停业，暂扣或吊销执照，吊销资质证书，执照、资质证书过期或存在引起执照、资质证书变更的事项而未变更执照、资质证书的。供应商提供承诺，并加盖供应商单位公章（鲜章或电子印章）；</w:t>
            </w:r>
          </w:p>
          <w:p w14:paraId="42420AE0">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（3）进入清算程序，或被宣告破产，或其他丧失履约能力的情形。供应商提供承诺，并加盖供应商单位公章（鲜章或电子印章）；</w:t>
            </w:r>
          </w:p>
          <w:p w14:paraId="7AA8129B">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4）在国家企业信用信息公示系统（http://www.gsxt.gov.cn/）中被列入严重违法失信企业名单。供应商自行承诺在国家企业信用信息公示系统（http://www.gsxt.gov.cn/）中未被列入严重违法失信企业名单，并加盖供应商单位公章（鲜章或电子印章），采购人保留在上述网站查询复核的权利；</w:t>
            </w:r>
          </w:p>
          <w:p w14:paraId="1CDEBF58">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5）在中国执行信息公开网（http://zxgk.court.gov.cn/）中被列入失信被执行人名单。供应商自行承诺在“信用中国”网站（https://www.creditchina.gov.cn/）或中国执行信息公开网（http://zxgk.court.gov.cn/）中未被列入失信被执行人名单，并加盖供应商单位公章（鲜章或电子印章），采购人保留在上述网站查询复核的权利；</w:t>
            </w:r>
          </w:p>
          <w:p w14:paraId="285F5056">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6）供应商及其法定代表人在近五年内（2020年1月1日本项目响应文件递交截止时间）有行贿犯罪行为的，行贿犯罪行为的认定以中国裁判文书网上（http://wenshu.court.gov.cn/）中查询结果为准。供应商自行承诺供应商及其法定代表人在近五年内（2020年1月1日本项目响应文件递交截止时间）无行贿犯罪行为，并加盖供应商单位公章（鲜章或电子印章），采购人保留在上述网站查询复核的权利；</w:t>
            </w:r>
          </w:p>
          <w:p w14:paraId="6B99C403">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（7）国家企业信用信息公示系统（http://www.gsxt.gov.cn/）中公示的主要人员存在相互任职的不同单位不得同时参与本项目询比；供应商提供承诺，并加盖供应商单位公章（鲜章或电子印章）；</w:t>
            </w:r>
          </w:p>
          <w:p w14:paraId="05019FF4">
            <w:pPr>
              <w:widowControl/>
              <w:snapToGrid w:val="0"/>
              <w:ind w:firstLine="480"/>
            </w:pPr>
            <w:r>
              <w:rPr>
                <w:rFonts w:hint="eastAsia" w:ascii="仿宋" w:hAnsi="仿宋" w:eastAsia="仿宋" w:cs="仿宋"/>
                <w:kern w:val="0"/>
                <w:sz w:val="24"/>
                <w:szCs w:val="24"/>
              </w:rPr>
              <w:t>6.本项目不允许联合体参与询比；不允许分包、转包。供应商提供承诺，并加盖供应商单位公章（鲜章或电子印章）；</w:t>
            </w:r>
          </w:p>
        </w:tc>
      </w:tr>
      <w:tr w14:paraId="463423FA">
        <w:tblPrEx>
          <w:tblCellMar>
            <w:top w:w="0" w:type="dxa"/>
            <w:left w:w="108" w:type="dxa"/>
            <w:bottom w:w="0" w:type="dxa"/>
            <w:right w:w="108" w:type="dxa"/>
          </w:tblCellMar>
        </w:tblPrEx>
        <w:trPr>
          <w:trHeight w:val="577" w:hRule="atLeast"/>
        </w:trPr>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DA69C5A">
            <w:pPr>
              <w:widowControl/>
              <w:ind w:firstLine="0" w:firstLineChars="0"/>
              <w:jc w:val="center"/>
              <w:rPr>
                <w:rFonts w:ascii="仿宋" w:hAnsi="仿宋" w:eastAsia="仿宋" w:cs="仿宋"/>
                <w:b/>
                <w:sz w:val="24"/>
                <w:szCs w:val="24"/>
                <w:lang w:bidi="ar"/>
              </w:rPr>
            </w:pPr>
            <w:r>
              <w:rPr>
                <w:rFonts w:hint="eastAsia" w:ascii="仿宋" w:hAnsi="仿宋" w:eastAsia="仿宋" w:cs="仿宋"/>
                <w:b/>
                <w:sz w:val="24"/>
                <w:szCs w:val="24"/>
                <w:lang w:bidi="ar"/>
              </w:rPr>
              <w:t>2</w:t>
            </w:r>
          </w:p>
        </w:tc>
        <w:tc>
          <w:tcPr>
            <w:tcW w:w="1126" w:type="dxa"/>
            <w:tcBorders>
              <w:top w:val="single" w:color="auto" w:sz="4" w:space="0"/>
              <w:left w:val="single" w:color="auto" w:sz="4" w:space="0"/>
              <w:bottom w:val="single" w:color="auto" w:sz="4" w:space="0"/>
              <w:right w:val="single" w:color="auto" w:sz="4" w:space="0"/>
            </w:tcBorders>
            <w:shd w:val="clear" w:color="auto" w:fill="FFFFFF"/>
            <w:vAlign w:val="center"/>
          </w:tcPr>
          <w:p w14:paraId="4BC8CE16">
            <w:pPr>
              <w:ind w:firstLine="0" w:firstLineChars="0"/>
              <w:rPr>
                <w:rFonts w:ascii="仿宋" w:hAnsi="仿宋" w:eastAsia="仿宋" w:cs="仿宋"/>
                <w:sz w:val="24"/>
                <w:szCs w:val="24"/>
              </w:rPr>
            </w:pPr>
            <w:r>
              <w:rPr>
                <w:rFonts w:hint="eastAsia" w:ascii="仿宋" w:hAnsi="仿宋" w:eastAsia="仿宋" w:cs="仿宋"/>
                <w:sz w:val="24"/>
                <w:szCs w:val="24"/>
              </w:rPr>
              <w:t>符合性审查</w:t>
            </w:r>
          </w:p>
        </w:tc>
        <w:tc>
          <w:tcPr>
            <w:tcW w:w="7574" w:type="dxa"/>
            <w:tcBorders>
              <w:top w:val="single" w:color="auto" w:sz="4" w:space="0"/>
              <w:left w:val="single" w:color="auto" w:sz="4" w:space="0"/>
              <w:bottom w:val="single" w:color="auto" w:sz="4" w:space="0"/>
              <w:right w:val="single" w:color="auto" w:sz="4" w:space="0"/>
            </w:tcBorders>
            <w:shd w:val="clear" w:color="auto" w:fill="FFFFFF"/>
            <w:vAlign w:val="center"/>
          </w:tcPr>
          <w:p w14:paraId="7196EDF7">
            <w:pPr>
              <w:ind w:firstLine="0" w:firstLineChars="0"/>
              <w:jc w:val="both"/>
              <w:rPr>
                <w:rFonts w:ascii="仿宋" w:hAnsi="仿宋" w:eastAsia="仿宋" w:cs="仿宋"/>
                <w:sz w:val="24"/>
                <w:szCs w:val="24"/>
              </w:rPr>
            </w:pPr>
            <w:r>
              <w:rPr>
                <w:rFonts w:hint="eastAsia" w:ascii="仿宋" w:hAnsi="仿宋" w:eastAsia="仿宋" w:cs="仿宋"/>
                <w:sz w:val="24"/>
                <w:szCs w:val="24"/>
              </w:rPr>
              <w:t>是否完全满足询比文件第三部分“采购内容及要求”所有要求及询比文件其他要求承诺条款（如有）。</w:t>
            </w:r>
          </w:p>
        </w:tc>
      </w:tr>
      <w:tr w14:paraId="583F7BB5">
        <w:tblPrEx>
          <w:tblCellMar>
            <w:top w:w="0" w:type="dxa"/>
            <w:left w:w="108" w:type="dxa"/>
            <w:bottom w:w="0" w:type="dxa"/>
            <w:right w:w="108" w:type="dxa"/>
          </w:tblCellMar>
        </w:tblPrEx>
        <w:trPr>
          <w:trHeight w:val="826" w:hRule="atLeast"/>
        </w:trPr>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955026A">
            <w:pPr>
              <w:widowControl/>
              <w:ind w:firstLine="0" w:firstLineChars="0"/>
              <w:jc w:val="center"/>
              <w:rPr>
                <w:rFonts w:ascii="仿宋" w:hAnsi="仿宋" w:eastAsia="仿宋" w:cs="仿宋"/>
                <w:b/>
                <w:sz w:val="24"/>
                <w:szCs w:val="24"/>
                <w:lang w:bidi="ar"/>
              </w:rPr>
            </w:pPr>
            <w:r>
              <w:rPr>
                <w:rFonts w:hint="eastAsia" w:ascii="仿宋" w:hAnsi="仿宋" w:eastAsia="仿宋" w:cs="仿宋"/>
                <w:b/>
                <w:sz w:val="24"/>
                <w:szCs w:val="24"/>
                <w:lang w:bidi="ar"/>
              </w:rPr>
              <w:t>3</w:t>
            </w:r>
          </w:p>
        </w:tc>
        <w:tc>
          <w:tcPr>
            <w:tcW w:w="1126" w:type="dxa"/>
            <w:tcBorders>
              <w:top w:val="single" w:color="auto" w:sz="4" w:space="0"/>
              <w:left w:val="single" w:color="auto" w:sz="4" w:space="0"/>
              <w:bottom w:val="single" w:color="auto" w:sz="4" w:space="0"/>
              <w:right w:val="single" w:color="auto" w:sz="4" w:space="0"/>
            </w:tcBorders>
            <w:shd w:val="clear" w:color="auto" w:fill="FFFFFF"/>
            <w:vAlign w:val="center"/>
          </w:tcPr>
          <w:p w14:paraId="2D4A791F">
            <w:pPr>
              <w:ind w:firstLine="0" w:firstLineChars="0"/>
              <w:rPr>
                <w:rFonts w:ascii="仿宋" w:hAnsi="仿宋" w:eastAsia="仿宋" w:cs="仿宋"/>
                <w:kern w:val="0"/>
                <w:sz w:val="24"/>
                <w:szCs w:val="24"/>
              </w:rPr>
            </w:pPr>
            <w:r>
              <w:rPr>
                <w:rFonts w:hint="eastAsia" w:ascii="仿宋" w:hAnsi="仿宋" w:eastAsia="仿宋" w:cs="仿宋"/>
                <w:sz w:val="24"/>
                <w:szCs w:val="24"/>
              </w:rPr>
              <w:t>无效标审查</w:t>
            </w:r>
          </w:p>
        </w:tc>
        <w:tc>
          <w:tcPr>
            <w:tcW w:w="7574" w:type="dxa"/>
            <w:tcBorders>
              <w:top w:val="single" w:color="auto" w:sz="4" w:space="0"/>
              <w:left w:val="single" w:color="auto" w:sz="4" w:space="0"/>
              <w:bottom w:val="single" w:color="auto" w:sz="4" w:space="0"/>
              <w:right w:val="single" w:color="auto" w:sz="4" w:space="0"/>
            </w:tcBorders>
            <w:shd w:val="clear" w:color="auto" w:fill="FFFFFF"/>
            <w:vAlign w:val="center"/>
          </w:tcPr>
          <w:p w14:paraId="1D156139">
            <w:pPr>
              <w:ind w:firstLine="0" w:firstLineChars="0"/>
              <w:jc w:val="both"/>
              <w:rPr>
                <w:rFonts w:ascii="仿宋" w:hAnsi="仿宋" w:eastAsia="仿宋" w:cs="仿宋"/>
                <w:kern w:val="0"/>
                <w:sz w:val="24"/>
                <w:szCs w:val="24"/>
              </w:rPr>
            </w:pPr>
            <w:r>
              <w:rPr>
                <w:rFonts w:hint="eastAsia" w:ascii="仿宋" w:hAnsi="仿宋" w:eastAsia="仿宋" w:cs="仿宋"/>
                <w:sz w:val="24"/>
                <w:szCs w:val="24"/>
              </w:rPr>
              <w:t>按本项目询比文件“询比供应商须知正文”19条无效标条款规定，审查是否通过。</w:t>
            </w:r>
          </w:p>
        </w:tc>
      </w:tr>
      <w:tr w14:paraId="549BDD03">
        <w:tblPrEx>
          <w:tblCellMar>
            <w:top w:w="0" w:type="dxa"/>
            <w:left w:w="108" w:type="dxa"/>
            <w:bottom w:w="0" w:type="dxa"/>
            <w:right w:w="108" w:type="dxa"/>
          </w:tblCellMar>
        </w:tblPrEx>
        <w:trPr>
          <w:trHeight w:val="599" w:hRule="atLeast"/>
        </w:trPr>
        <w:tc>
          <w:tcPr>
            <w:tcW w:w="950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79AAD8">
            <w:pPr>
              <w:ind w:firstLine="0" w:firstLineChars="0"/>
              <w:jc w:val="center"/>
              <w:rPr>
                <w:rFonts w:ascii="仿宋" w:hAnsi="仿宋" w:eastAsia="仿宋" w:cs="仿宋"/>
                <w:sz w:val="24"/>
                <w:szCs w:val="24"/>
              </w:rPr>
            </w:pPr>
            <w:r>
              <w:rPr>
                <w:rFonts w:hint="eastAsia" w:ascii="仿宋" w:hAnsi="仿宋" w:eastAsia="仿宋" w:cs="仿宋"/>
                <w:b/>
                <w:sz w:val="24"/>
                <w:szCs w:val="24"/>
                <w:lang w:bidi="ar"/>
              </w:rPr>
              <w:t>初步审查结论（通过或不通过）</w:t>
            </w:r>
          </w:p>
        </w:tc>
      </w:tr>
    </w:tbl>
    <w:p w14:paraId="3149D718">
      <w:pPr>
        <w:pStyle w:val="3"/>
        <w:rPr>
          <w:rFonts w:ascii="仿宋" w:hAnsi="仿宋" w:eastAsia="仿宋" w:cs="仿宋"/>
          <w:color w:val="auto"/>
        </w:rPr>
      </w:pPr>
      <w:bookmarkStart w:id="82" w:name="_Toc4327"/>
      <w:bookmarkStart w:id="83" w:name="_Toc21953"/>
      <w:bookmarkStart w:id="84" w:name="_Toc31584"/>
      <w:r>
        <w:rPr>
          <w:rFonts w:hint="eastAsia" w:ascii="仿宋" w:hAnsi="仿宋" w:eastAsia="仿宋" w:cs="仿宋"/>
          <w:color w:val="auto"/>
        </w:rPr>
        <w:br w:type="page"/>
      </w:r>
      <w:r>
        <w:rPr>
          <w:rFonts w:hint="eastAsia" w:ascii="仿宋" w:hAnsi="仿宋" w:eastAsia="仿宋" w:cs="仿宋"/>
          <w:color w:val="auto"/>
        </w:rPr>
        <w:t>第五部分询比纪律</w:t>
      </w:r>
      <w:bookmarkEnd w:id="79"/>
      <w:bookmarkEnd w:id="80"/>
      <w:bookmarkEnd w:id="81"/>
      <w:bookmarkEnd w:id="82"/>
      <w:bookmarkEnd w:id="83"/>
      <w:bookmarkEnd w:id="84"/>
    </w:p>
    <w:p w14:paraId="78CD8769">
      <w:pPr>
        <w:ind w:firstLine="480"/>
        <w:textAlignment w:val="baseline"/>
        <w:rPr>
          <w:rFonts w:ascii="仿宋" w:hAnsi="仿宋" w:eastAsia="仿宋" w:cs="仿宋"/>
          <w:sz w:val="24"/>
          <w:szCs w:val="24"/>
        </w:rPr>
      </w:pPr>
      <w:r>
        <w:rPr>
          <w:rFonts w:hint="eastAsia" w:ascii="仿宋" w:hAnsi="仿宋" w:eastAsia="仿宋" w:cs="仿宋"/>
          <w:sz w:val="24"/>
          <w:szCs w:val="24"/>
        </w:rPr>
        <w:t>一、本项目应当遵循竞比透明原则、公平竞争原则、公正原则和诚实信用原则，</w:t>
      </w:r>
      <w:r>
        <w:rPr>
          <w:rFonts w:hint="eastAsia" w:ascii="仿宋" w:hAnsi="仿宋" w:eastAsia="仿宋" w:cs="仿宋"/>
          <w:sz w:val="24"/>
          <w:szCs w:val="24"/>
          <w:lang w:val="zh-CN"/>
        </w:rPr>
        <w:t>实行阳光操作，禁止任何形式的暗箱操作行为</w:t>
      </w:r>
      <w:r>
        <w:rPr>
          <w:rFonts w:hint="eastAsia" w:ascii="仿宋" w:hAnsi="仿宋" w:eastAsia="仿宋" w:cs="仿宋"/>
          <w:sz w:val="24"/>
          <w:szCs w:val="24"/>
        </w:rPr>
        <w:t>；</w:t>
      </w:r>
    </w:p>
    <w:p w14:paraId="7FD0C339">
      <w:pPr>
        <w:ind w:firstLine="480"/>
        <w:textAlignment w:val="baseline"/>
        <w:rPr>
          <w:rFonts w:ascii="仿宋" w:hAnsi="仿宋" w:eastAsia="仿宋" w:cs="仿宋"/>
          <w:sz w:val="24"/>
          <w:szCs w:val="24"/>
        </w:rPr>
      </w:pPr>
      <w:r>
        <w:rPr>
          <w:rFonts w:hint="eastAsia" w:ascii="仿宋" w:hAnsi="仿宋" w:eastAsia="仿宋" w:cs="仿宋"/>
          <w:sz w:val="24"/>
          <w:szCs w:val="24"/>
        </w:rPr>
        <w:t>二、参加询比会的所有监督部门代表、采购人代表等相关人员应在规定时间内按时到场，不得迟到；</w:t>
      </w:r>
    </w:p>
    <w:p w14:paraId="06DE5A1F">
      <w:pPr>
        <w:ind w:firstLine="480"/>
        <w:textAlignment w:val="baseline"/>
        <w:rPr>
          <w:rFonts w:ascii="仿宋" w:hAnsi="仿宋" w:eastAsia="仿宋" w:cs="仿宋"/>
          <w:sz w:val="24"/>
          <w:szCs w:val="24"/>
        </w:rPr>
      </w:pPr>
      <w:r>
        <w:rPr>
          <w:rFonts w:hint="eastAsia" w:ascii="仿宋" w:hAnsi="仿宋" w:eastAsia="仿宋" w:cs="仿宋"/>
          <w:sz w:val="24"/>
          <w:szCs w:val="24"/>
        </w:rPr>
        <w:t>三、询比供应商代表如对询比过程有疑问，可按相关程序向采购人咨询、质疑，对质疑不满意的，可向有关监督管理部门投诉；</w:t>
      </w:r>
    </w:p>
    <w:p w14:paraId="1B3406D8">
      <w:pPr>
        <w:ind w:firstLine="480"/>
        <w:textAlignment w:val="baseline"/>
        <w:rPr>
          <w:rFonts w:ascii="仿宋" w:hAnsi="仿宋" w:eastAsia="仿宋" w:cs="仿宋"/>
          <w:sz w:val="24"/>
          <w:szCs w:val="24"/>
        </w:rPr>
      </w:pPr>
      <w:r>
        <w:rPr>
          <w:rFonts w:hint="eastAsia" w:ascii="仿宋" w:hAnsi="仿宋" w:eastAsia="仿宋" w:cs="仿宋"/>
          <w:sz w:val="24"/>
          <w:szCs w:val="24"/>
        </w:rPr>
        <w:t>四、询比供应商不得与采购人、其他供应商相互串通损害国家利益、社会公共利益和其他当事人的合法权益；</w:t>
      </w:r>
    </w:p>
    <w:p w14:paraId="35F74D0F">
      <w:pPr>
        <w:ind w:firstLine="480"/>
        <w:textAlignment w:val="baseline"/>
        <w:rPr>
          <w:rFonts w:ascii="仿宋" w:hAnsi="仿宋" w:eastAsia="仿宋" w:cs="仿宋"/>
          <w:sz w:val="24"/>
          <w:szCs w:val="24"/>
        </w:rPr>
      </w:pPr>
      <w:r>
        <w:rPr>
          <w:rFonts w:hint="eastAsia" w:ascii="仿宋" w:hAnsi="仿宋" w:eastAsia="仿宋" w:cs="仿宋"/>
          <w:sz w:val="24"/>
          <w:szCs w:val="24"/>
        </w:rPr>
        <w:t>五、询比供应商</w:t>
      </w:r>
      <w:r>
        <w:rPr>
          <w:rFonts w:hint="eastAsia" w:ascii="仿宋" w:hAnsi="仿宋" w:eastAsia="仿宋" w:cs="仿宋"/>
          <w:sz w:val="24"/>
          <w:szCs w:val="24"/>
          <w:lang w:val="zh-CN"/>
        </w:rPr>
        <w:t>要本着公平竞争的原则，充分以品质、技术、性能、价格、售后服务等重要因素参与询比，严格保证询比响应文件中内容的真实有效性，不得相互串通询比，</w:t>
      </w:r>
      <w:r>
        <w:rPr>
          <w:rFonts w:hint="eastAsia" w:ascii="仿宋" w:hAnsi="仿宋" w:eastAsia="仿宋" w:cs="仿宋"/>
          <w:sz w:val="24"/>
          <w:szCs w:val="24"/>
        </w:rPr>
        <w:t>不得提供虚假材料谋取成交</w:t>
      </w:r>
      <w:r>
        <w:rPr>
          <w:rFonts w:hint="eastAsia" w:ascii="仿宋" w:hAnsi="仿宋" w:eastAsia="仿宋" w:cs="仿宋"/>
          <w:sz w:val="24"/>
          <w:szCs w:val="24"/>
          <w:lang w:val="zh-CN"/>
        </w:rPr>
        <w:t>，</w:t>
      </w:r>
      <w:r>
        <w:rPr>
          <w:rFonts w:hint="eastAsia" w:ascii="仿宋" w:hAnsi="仿宋" w:eastAsia="仿宋" w:cs="仿宋"/>
          <w:sz w:val="24"/>
          <w:szCs w:val="24"/>
        </w:rPr>
        <w:t>不得以任何手段诋毁、排挤其他供应商，不得</w:t>
      </w:r>
      <w:r>
        <w:rPr>
          <w:rFonts w:hint="eastAsia" w:ascii="仿宋" w:hAnsi="仿宋" w:eastAsia="仿宋" w:cs="仿宋"/>
          <w:sz w:val="24"/>
          <w:szCs w:val="24"/>
          <w:lang w:val="zh-CN"/>
        </w:rPr>
        <w:t>损害本项目当事人的合法权益，不得损害国家利益、社会公共利益</w:t>
      </w:r>
      <w:r>
        <w:rPr>
          <w:rFonts w:hint="eastAsia" w:ascii="仿宋" w:hAnsi="仿宋" w:eastAsia="仿宋" w:cs="仿宋"/>
          <w:sz w:val="24"/>
          <w:szCs w:val="24"/>
        </w:rPr>
        <w:t>；</w:t>
      </w:r>
    </w:p>
    <w:p w14:paraId="6B5401F4">
      <w:pPr>
        <w:ind w:firstLine="480"/>
        <w:textAlignment w:val="baseline"/>
        <w:rPr>
          <w:rFonts w:ascii="仿宋" w:hAnsi="仿宋" w:eastAsia="仿宋" w:cs="仿宋"/>
          <w:sz w:val="24"/>
          <w:szCs w:val="24"/>
        </w:rPr>
      </w:pPr>
      <w:r>
        <w:rPr>
          <w:rFonts w:hint="eastAsia" w:ascii="仿宋" w:hAnsi="仿宋" w:eastAsia="仿宋" w:cs="仿宋"/>
          <w:sz w:val="24"/>
          <w:szCs w:val="24"/>
        </w:rPr>
        <w:t>六、询比供应商不得向采购人、评审专家及其他相关人员行贿或者提供其他不正当利益；</w:t>
      </w:r>
    </w:p>
    <w:p w14:paraId="10DBCEC0">
      <w:pPr>
        <w:ind w:firstLine="480"/>
        <w:textAlignment w:val="baseline"/>
        <w:rPr>
          <w:rFonts w:ascii="仿宋" w:hAnsi="仿宋" w:eastAsia="仿宋" w:cs="仿宋"/>
          <w:sz w:val="24"/>
          <w:szCs w:val="24"/>
        </w:rPr>
      </w:pPr>
      <w:r>
        <w:rPr>
          <w:rFonts w:hint="eastAsia" w:ascii="仿宋" w:hAnsi="仿宋" w:eastAsia="仿宋" w:cs="仿宋"/>
          <w:sz w:val="24"/>
          <w:szCs w:val="24"/>
        </w:rPr>
        <w:t>七、无论询比结果如何，询比供应商都不得无理取闹，否则由此导致的一切后果由询比供应商自行承担；</w:t>
      </w:r>
    </w:p>
    <w:p w14:paraId="5B975ECF">
      <w:pPr>
        <w:ind w:firstLine="480"/>
        <w:textAlignment w:val="baseline"/>
        <w:outlineLvl w:val="1"/>
        <w:rPr>
          <w:rFonts w:ascii="仿宋" w:hAnsi="仿宋" w:eastAsia="仿宋" w:cs="仿宋"/>
          <w:sz w:val="24"/>
          <w:szCs w:val="24"/>
        </w:rPr>
      </w:pPr>
      <w:bookmarkStart w:id="85" w:name="_Toc20625"/>
      <w:r>
        <w:rPr>
          <w:rFonts w:hint="eastAsia" w:ascii="仿宋" w:hAnsi="仿宋" w:eastAsia="仿宋" w:cs="仿宋"/>
          <w:sz w:val="24"/>
          <w:szCs w:val="24"/>
        </w:rPr>
        <w:t>八、严禁一切不正当行为；</w:t>
      </w:r>
      <w:bookmarkEnd w:id="85"/>
    </w:p>
    <w:p w14:paraId="591D1AD7">
      <w:pPr>
        <w:ind w:firstLine="480"/>
        <w:textAlignment w:val="baseline"/>
        <w:rPr>
          <w:rFonts w:ascii="仿宋" w:hAnsi="仿宋" w:eastAsia="仿宋" w:cs="仿宋"/>
          <w:sz w:val="24"/>
          <w:szCs w:val="24"/>
        </w:rPr>
      </w:pPr>
      <w:r>
        <w:rPr>
          <w:rFonts w:hint="eastAsia" w:ascii="仿宋" w:hAnsi="仿宋" w:eastAsia="仿宋" w:cs="仿宋"/>
          <w:sz w:val="24"/>
          <w:szCs w:val="24"/>
        </w:rPr>
        <w:t>以上询比会纪律请相关人员共同遵守，以保证本项目活动</w:t>
      </w:r>
      <w:r>
        <w:rPr>
          <w:rFonts w:hint="eastAsia" w:ascii="仿宋" w:hAnsi="仿宋" w:eastAsia="仿宋" w:cs="仿宋"/>
          <w:sz w:val="24"/>
          <w:szCs w:val="24"/>
          <w:lang w:val="zh-CN"/>
        </w:rPr>
        <w:t>健康、有序的进行。</w:t>
      </w:r>
    </w:p>
    <w:p w14:paraId="4C9B9CAC">
      <w:pPr>
        <w:pStyle w:val="3"/>
        <w:spacing w:line="240" w:lineRule="auto"/>
        <w:rPr>
          <w:rFonts w:ascii="仿宋" w:hAnsi="仿宋" w:eastAsia="仿宋" w:cs="仿宋"/>
          <w:color w:val="auto"/>
        </w:rPr>
      </w:pPr>
      <w:r>
        <w:rPr>
          <w:rFonts w:hint="eastAsia" w:ascii="仿宋" w:hAnsi="仿宋" w:eastAsia="仿宋" w:cs="仿宋"/>
          <w:color w:val="auto"/>
        </w:rPr>
        <w:br w:type="page"/>
      </w:r>
      <w:bookmarkStart w:id="86" w:name="_Toc28776"/>
      <w:bookmarkStart w:id="87" w:name="_Toc21291"/>
      <w:bookmarkStart w:id="88" w:name="_Toc32452"/>
      <w:bookmarkStart w:id="89" w:name="_Toc1748"/>
      <w:bookmarkStart w:id="90" w:name="_Toc18412"/>
      <w:bookmarkStart w:id="91" w:name="_Toc1767"/>
      <w:bookmarkStart w:id="92" w:name="_Toc31052"/>
      <w:bookmarkStart w:id="93" w:name="_Toc793"/>
      <w:r>
        <w:rPr>
          <w:rFonts w:hint="eastAsia" w:ascii="仿宋" w:hAnsi="仿宋" w:eastAsia="仿宋" w:cs="仿宋"/>
          <w:color w:val="auto"/>
        </w:rPr>
        <w:t>第六部分评审工作纪律</w:t>
      </w:r>
      <w:bookmarkEnd w:id="86"/>
      <w:bookmarkEnd w:id="87"/>
      <w:bookmarkEnd w:id="88"/>
      <w:bookmarkEnd w:id="89"/>
      <w:bookmarkEnd w:id="90"/>
      <w:bookmarkEnd w:id="91"/>
      <w:bookmarkEnd w:id="92"/>
      <w:bookmarkEnd w:id="93"/>
    </w:p>
    <w:bookmarkEnd w:id="73"/>
    <w:p w14:paraId="08D641E9">
      <w:pPr>
        <w:ind w:firstLine="0" w:firstLineChars="0"/>
        <w:textAlignment w:val="baseline"/>
        <w:outlineLvl w:val="1"/>
        <w:rPr>
          <w:rFonts w:ascii="仿宋" w:hAnsi="仿宋" w:eastAsia="仿宋" w:cs="仿宋"/>
          <w:sz w:val="28"/>
          <w:szCs w:val="28"/>
        </w:rPr>
      </w:pPr>
      <w:bookmarkStart w:id="94" w:name="_Toc12076"/>
    </w:p>
    <w:p w14:paraId="1EAB4FCE">
      <w:pPr>
        <w:ind w:firstLine="480"/>
        <w:textAlignment w:val="baseline"/>
        <w:outlineLvl w:val="1"/>
        <w:rPr>
          <w:rFonts w:ascii="仿宋" w:hAnsi="仿宋" w:eastAsia="仿宋" w:cs="仿宋"/>
          <w:sz w:val="24"/>
          <w:szCs w:val="24"/>
        </w:rPr>
      </w:pPr>
      <w:r>
        <w:rPr>
          <w:rFonts w:hint="eastAsia" w:ascii="仿宋" w:hAnsi="仿宋" w:eastAsia="仿宋" w:cs="仿宋"/>
          <w:sz w:val="24"/>
          <w:szCs w:val="24"/>
        </w:rPr>
        <w:t>一、严格遵守相关法律、法规；</w:t>
      </w:r>
      <w:bookmarkEnd w:id="94"/>
    </w:p>
    <w:p w14:paraId="2D21423E">
      <w:pPr>
        <w:ind w:firstLine="480"/>
        <w:textAlignment w:val="baseline"/>
        <w:rPr>
          <w:rFonts w:ascii="仿宋" w:hAnsi="仿宋" w:eastAsia="仿宋" w:cs="仿宋"/>
          <w:sz w:val="24"/>
          <w:szCs w:val="24"/>
        </w:rPr>
      </w:pPr>
      <w:r>
        <w:rPr>
          <w:rFonts w:hint="eastAsia" w:ascii="仿宋" w:hAnsi="仿宋" w:eastAsia="仿宋" w:cs="仿宋"/>
          <w:sz w:val="24"/>
          <w:szCs w:val="24"/>
        </w:rPr>
        <w:t>二、坚持公平、竞比、公正、科学、择优和信誉的评审原则，按询比文件中的规定进行认真评审，不得与其他询比当事人串通评审；</w:t>
      </w:r>
    </w:p>
    <w:p w14:paraId="6FF70509">
      <w:pPr>
        <w:ind w:firstLine="480"/>
        <w:textAlignment w:val="baseline"/>
        <w:rPr>
          <w:rFonts w:ascii="仿宋" w:hAnsi="仿宋" w:eastAsia="仿宋" w:cs="仿宋"/>
          <w:sz w:val="24"/>
          <w:szCs w:val="24"/>
        </w:rPr>
      </w:pPr>
      <w:r>
        <w:rPr>
          <w:rFonts w:hint="eastAsia" w:ascii="仿宋" w:hAnsi="仿宋" w:eastAsia="仿宋" w:cs="仿宋"/>
          <w:sz w:val="24"/>
          <w:szCs w:val="24"/>
        </w:rPr>
        <w:t>三、询比评审小组成员与评审有利害关系的，应主动提出，予以回避；</w:t>
      </w:r>
    </w:p>
    <w:p w14:paraId="7289132B">
      <w:pPr>
        <w:ind w:firstLine="480"/>
        <w:textAlignment w:val="baseline"/>
        <w:rPr>
          <w:rFonts w:ascii="仿宋" w:hAnsi="仿宋" w:eastAsia="仿宋" w:cs="仿宋"/>
          <w:sz w:val="24"/>
          <w:szCs w:val="24"/>
        </w:rPr>
      </w:pPr>
      <w:r>
        <w:rPr>
          <w:rFonts w:hint="eastAsia" w:ascii="仿宋" w:hAnsi="仿宋" w:eastAsia="仿宋" w:cs="仿宋"/>
          <w:sz w:val="24"/>
          <w:szCs w:val="24"/>
        </w:rPr>
        <w:t>四、询比评审小组成员一经进入评审区，在评审结束之前，禁止与外界接触，不得私自离开；</w:t>
      </w:r>
    </w:p>
    <w:p w14:paraId="0FB13DDA">
      <w:pPr>
        <w:ind w:firstLine="480"/>
        <w:textAlignment w:val="baseline"/>
        <w:rPr>
          <w:rFonts w:ascii="仿宋" w:hAnsi="仿宋" w:eastAsia="仿宋" w:cs="仿宋"/>
          <w:sz w:val="24"/>
          <w:szCs w:val="24"/>
        </w:rPr>
      </w:pPr>
      <w:r>
        <w:rPr>
          <w:rFonts w:hint="eastAsia" w:ascii="仿宋" w:hAnsi="仿宋" w:eastAsia="仿宋" w:cs="仿宋"/>
          <w:sz w:val="24"/>
          <w:szCs w:val="24"/>
        </w:rPr>
        <w:t>五、凡进入评审区的人员，应自觉服从管理，关闭各种通讯工具，不得干扰评审工作；</w:t>
      </w:r>
    </w:p>
    <w:p w14:paraId="1D9E96F5">
      <w:pPr>
        <w:ind w:firstLine="480"/>
        <w:textAlignment w:val="baseline"/>
        <w:rPr>
          <w:rFonts w:ascii="仿宋" w:hAnsi="仿宋" w:eastAsia="仿宋" w:cs="仿宋"/>
          <w:sz w:val="24"/>
          <w:szCs w:val="24"/>
        </w:rPr>
      </w:pPr>
      <w:r>
        <w:rPr>
          <w:rFonts w:hint="eastAsia" w:ascii="仿宋" w:hAnsi="仿宋" w:eastAsia="仿宋" w:cs="仿宋"/>
          <w:sz w:val="24"/>
          <w:szCs w:val="24"/>
        </w:rPr>
        <w:t>六、评审的依据只能是询比响应文件及其有效补充文件或澄清文件；</w:t>
      </w:r>
    </w:p>
    <w:p w14:paraId="681208C6">
      <w:pPr>
        <w:ind w:firstLine="480"/>
        <w:textAlignment w:val="baseline"/>
        <w:rPr>
          <w:rFonts w:ascii="仿宋" w:hAnsi="仿宋" w:eastAsia="仿宋" w:cs="仿宋"/>
          <w:sz w:val="24"/>
          <w:szCs w:val="24"/>
        </w:rPr>
      </w:pPr>
      <w:r>
        <w:rPr>
          <w:rFonts w:hint="eastAsia" w:ascii="仿宋" w:hAnsi="仿宋" w:eastAsia="仿宋" w:cs="仿宋"/>
          <w:sz w:val="24"/>
          <w:szCs w:val="24"/>
        </w:rPr>
        <w:t>七、在评审工作中坚持“公正、公平”的原则，按询比、询比响应文件认真、客观公正地对待每一位询比供应商，不受机构和个人干扰，依法保护招、询比供应商的合法权益。询比评审小组评审时应各自独立进行评审，不得发表任何具有倾向性的见解，不得对其他评委的评审意见施加任何影响，不得私下接触询比供应商或提前泄露评审结果；</w:t>
      </w:r>
    </w:p>
    <w:p w14:paraId="16E7709E">
      <w:pPr>
        <w:ind w:firstLine="480"/>
        <w:textAlignment w:val="baseline"/>
        <w:rPr>
          <w:rFonts w:ascii="仿宋" w:hAnsi="仿宋" w:eastAsia="仿宋" w:cs="仿宋"/>
          <w:sz w:val="24"/>
          <w:szCs w:val="24"/>
        </w:rPr>
      </w:pPr>
      <w:r>
        <w:rPr>
          <w:rFonts w:hint="eastAsia" w:ascii="仿宋" w:hAnsi="仿宋" w:eastAsia="仿宋" w:cs="仿宋"/>
          <w:sz w:val="24"/>
          <w:szCs w:val="24"/>
        </w:rPr>
        <w:t>八、询比评审小组有权要求询比供应商对其询比响应文件中不明确的内容做出解释、澄清，并用书面的形式确认，满足要求的，按有效询比书接受，但不允许对技术、商务、价格等实质内容进行修改；</w:t>
      </w:r>
    </w:p>
    <w:p w14:paraId="47D82B53">
      <w:pPr>
        <w:ind w:firstLine="480"/>
        <w:textAlignment w:val="baseline"/>
        <w:rPr>
          <w:rFonts w:ascii="仿宋" w:hAnsi="仿宋" w:eastAsia="仿宋" w:cs="仿宋"/>
          <w:sz w:val="24"/>
          <w:szCs w:val="24"/>
        </w:rPr>
      </w:pPr>
      <w:r>
        <w:rPr>
          <w:rFonts w:hint="eastAsia" w:ascii="仿宋" w:hAnsi="仿宋" w:eastAsia="仿宋" w:cs="仿宋"/>
          <w:sz w:val="24"/>
          <w:szCs w:val="24"/>
        </w:rPr>
        <w:t>九、询比评审小组均不得向询比供应商或相关的人员透露所有评审和定标等有关情况，也必须对询比供应商的商业机密进行保密；</w:t>
      </w:r>
    </w:p>
    <w:p w14:paraId="4B02E565">
      <w:pPr>
        <w:ind w:firstLine="480"/>
        <w:textAlignment w:val="baseline"/>
        <w:rPr>
          <w:rFonts w:ascii="仿宋" w:hAnsi="仿宋" w:eastAsia="仿宋" w:cs="仿宋"/>
          <w:sz w:val="24"/>
          <w:szCs w:val="24"/>
        </w:rPr>
      </w:pPr>
      <w:r>
        <w:rPr>
          <w:rFonts w:hint="eastAsia" w:ascii="仿宋" w:hAnsi="仿宋" w:eastAsia="仿宋" w:cs="仿宋"/>
          <w:sz w:val="24"/>
          <w:szCs w:val="24"/>
        </w:rPr>
        <w:t>十、询比评审小组应在评审意见书签名，有不同意见的，可书面说明。不在评审意见书上签名，又不书面说明理由的，视同同意评审意见；</w:t>
      </w:r>
    </w:p>
    <w:p w14:paraId="49273027">
      <w:pPr>
        <w:ind w:firstLine="480"/>
        <w:textAlignment w:val="baseline"/>
        <w:outlineLvl w:val="1"/>
        <w:rPr>
          <w:rFonts w:ascii="仿宋" w:hAnsi="仿宋" w:eastAsia="仿宋" w:cs="仿宋"/>
          <w:sz w:val="24"/>
          <w:szCs w:val="24"/>
        </w:rPr>
      </w:pPr>
      <w:bookmarkStart w:id="95" w:name="_Toc30953"/>
      <w:r>
        <w:rPr>
          <w:rFonts w:hint="eastAsia" w:ascii="仿宋" w:hAnsi="仿宋" w:eastAsia="仿宋" w:cs="仿宋"/>
          <w:sz w:val="24"/>
          <w:szCs w:val="24"/>
        </w:rPr>
        <w:t>十一、评审所用资料及工作底稿均不得带离评审会场；</w:t>
      </w:r>
      <w:bookmarkEnd w:id="95"/>
    </w:p>
    <w:p w14:paraId="7F6F278C">
      <w:pPr>
        <w:ind w:firstLine="480"/>
        <w:textAlignment w:val="baseline"/>
        <w:rPr>
          <w:rFonts w:ascii="仿宋" w:hAnsi="仿宋" w:eastAsia="仿宋" w:cs="仿宋"/>
          <w:sz w:val="24"/>
          <w:szCs w:val="24"/>
        </w:rPr>
      </w:pPr>
      <w:r>
        <w:rPr>
          <w:rFonts w:hint="eastAsia" w:ascii="仿宋" w:hAnsi="仿宋" w:eastAsia="仿宋" w:cs="仿宋"/>
          <w:sz w:val="24"/>
          <w:szCs w:val="24"/>
        </w:rPr>
        <w:t>十二、询比评审小组评审工作应接受询比监管部门监督员的监督；</w:t>
      </w:r>
    </w:p>
    <w:p w14:paraId="664D2ED4">
      <w:pPr>
        <w:pStyle w:val="3"/>
        <w:spacing w:line="240" w:lineRule="auto"/>
        <w:jc w:val="both"/>
        <w:rPr>
          <w:rFonts w:ascii="仿宋" w:hAnsi="仿宋" w:eastAsia="仿宋" w:cs="仿宋"/>
          <w:color w:val="auto"/>
        </w:rPr>
      </w:pPr>
      <w:bookmarkStart w:id="96" w:name="_Toc26019"/>
      <w:bookmarkStart w:id="97" w:name="_Toc11085"/>
      <w:bookmarkStart w:id="98" w:name="_Toc9958"/>
      <w:bookmarkStart w:id="99" w:name="_Toc278286326"/>
      <w:bookmarkStart w:id="100" w:name="_Toc3560"/>
      <w:bookmarkStart w:id="101" w:name="_Toc21624"/>
      <w:bookmarkStart w:id="102" w:name="_Toc20309"/>
      <w:bookmarkStart w:id="103" w:name="_Toc24815"/>
      <w:bookmarkStart w:id="104" w:name="_Toc27038"/>
    </w:p>
    <w:p w14:paraId="3A0A565B">
      <w:pPr>
        <w:pStyle w:val="3"/>
        <w:spacing w:line="240" w:lineRule="auto"/>
        <w:jc w:val="both"/>
        <w:rPr>
          <w:rFonts w:ascii="仿宋" w:hAnsi="仿宋" w:eastAsia="仿宋" w:cs="仿宋"/>
          <w:color w:val="auto"/>
        </w:rPr>
      </w:pPr>
    </w:p>
    <w:p w14:paraId="399FA4A5">
      <w:pPr>
        <w:pStyle w:val="3"/>
        <w:spacing w:line="240" w:lineRule="auto"/>
        <w:jc w:val="both"/>
        <w:rPr>
          <w:rFonts w:ascii="仿宋" w:hAnsi="仿宋" w:eastAsia="仿宋" w:cs="仿宋"/>
          <w:color w:val="auto"/>
        </w:rPr>
      </w:pPr>
    </w:p>
    <w:p w14:paraId="3C7C21A3">
      <w:pPr>
        <w:pStyle w:val="3"/>
        <w:spacing w:line="240" w:lineRule="auto"/>
        <w:rPr>
          <w:rFonts w:ascii="仿宋" w:hAnsi="仿宋" w:eastAsia="仿宋" w:cs="仿宋"/>
          <w:color w:val="auto"/>
        </w:rPr>
      </w:pPr>
    </w:p>
    <w:p w14:paraId="01233FF0">
      <w:pPr>
        <w:pStyle w:val="3"/>
        <w:spacing w:line="240" w:lineRule="auto"/>
        <w:rPr>
          <w:rFonts w:ascii="仿宋" w:hAnsi="仿宋" w:eastAsia="仿宋" w:cs="仿宋"/>
          <w:color w:val="auto"/>
          <w:sz w:val="24"/>
        </w:rPr>
      </w:pPr>
      <w:r>
        <w:rPr>
          <w:rFonts w:hint="eastAsia" w:ascii="仿宋" w:hAnsi="仿宋" w:eastAsia="仿宋" w:cs="仿宋"/>
          <w:color w:val="auto"/>
        </w:rPr>
        <w:t>第七部分合同条款</w:t>
      </w:r>
      <w:bookmarkEnd w:id="96"/>
      <w:bookmarkEnd w:id="97"/>
      <w:bookmarkEnd w:id="98"/>
      <w:bookmarkEnd w:id="99"/>
      <w:bookmarkEnd w:id="100"/>
      <w:bookmarkEnd w:id="101"/>
      <w:bookmarkEnd w:id="102"/>
      <w:bookmarkEnd w:id="103"/>
      <w:bookmarkEnd w:id="104"/>
    </w:p>
    <w:p w14:paraId="405885DF">
      <w:pPr>
        <w:ind w:firstLine="422"/>
        <w:jc w:val="center"/>
        <w:rPr>
          <w:rFonts w:ascii="仿宋" w:hAnsi="仿宋" w:eastAsia="仿宋" w:cs="仿宋"/>
          <w:b/>
          <w:bCs/>
        </w:rPr>
      </w:pPr>
    </w:p>
    <w:p w14:paraId="1F1491E2">
      <w:pPr>
        <w:ind w:firstLine="422"/>
        <w:jc w:val="center"/>
        <w:rPr>
          <w:rFonts w:ascii="仿宋" w:hAnsi="仿宋" w:eastAsia="仿宋" w:cs="仿宋"/>
          <w:b/>
          <w:bCs/>
        </w:rPr>
      </w:pPr>
    </w:p>
    <w:p w14:paraId="732D502F">
      <w:pPr>
        <w:ind w:firstLine="562"/>
        <w:jc w:val="both"/>
        <w:rPr>
          <w:rFonts w:ascii="仿宋" w:hAnsi="仿宋" w:eastAsia="仿宋" w:cs="仿宋"/>
          <w:b/>
          <w:bCs/>
          <w:sz w:val="28"/>
          <w:szCs w:val="28"/>
        </w:rPr>
        <w:sectPr>
          <w:headerReference r:id="rId11" w:type="default"/>
          <w:footerReference r:id="rId12" w:type="default"/>
          <w:pgSz w:w="12240" w:h="15840"/>
          <w:pgMar w:top="1134" w:right="1701" w:bottom="1134" w:left="1701" w:header="720" w:footer="720" w:gutter="0"/>
          <w:cols w:space="720" w:num="1"/>
          <w:docGrid w:linePitch="285" w:charSpace="0"/>
        </w:sectPr>
      </w:pPr>
      <w:r>
        <w:rPr>
          <w:rFonts w:hint="eastAsia" w:ascii="仿宋" w:hAnsi="仿宋" w:eastAsia="仿宋" w:cs="仿宋"/>
          <w:b/>
          <w:bCs/>
          <w:sz w:val="28"/>
          <w:szCs w:val="28"/>
        </w:rPr>
        <w:t>成交供应商与采购人根据询比文件及询比响应文件协商签订合同的为准。</w:t>
      </w:r>
    </w:p>
    <w:p w14:paraId="2C6A070C">
      <w:pPr>
        <w:ind w:firstLine="482"/>
        <w:textAlignment w:val="baseline"/>
        <w:rPr>
          <w:rFonts w:ascii="仿宋_GB2312" w:hAnsi="仿宋_GB2312" w:eastAsia="仿宋_GB2312" w:cs="仿宋_GB2312"/>
          <w:b/>
          <w:sz w:val="24"/>
          <w:u w:val="single"/>
        </w:rPr>
      </w:pPr>
    </w:p>
    <w:p w14:paraId="7A9D2774">
      <w:pPr>
        <w:pStyle w:val="3"/>
        <w:rPr>
          <w:rFonts w:ascii="仿宋_GB2312" w:hAnsi="仿宋_GB2312" w:eastAsia="仿宋_GB2312" w:cs="仿宋_GB2312"/>
          <w:color w:val="auto"/>
        </w:rPr>
      </w:pPr>
      <w:bookmarkStart w:id="105" w:name="_Toc25859"/>
      <w:bookmarkStart w:id="106" w:name="_Toc271013840"/>
      <w:bookmarkStart w:id="107" w:name="_Toc24976"/>
      <w:bookmarkStart w:id="108" w:name="_Toc2684"/>
      <w:bookmarkStart w:id="109" w:name="_Toc23331"/>
      <w:bookmarkStart w:id="110" w:name="_Toc278286327"/>
      <w:bookmarkStart w:id="111" w:name="_Toc24640"/>
      <w:bookmarkStart w:id="112" w:name="_Toc32042"/>
      <w:bookmarkStart w:id="113" w:name="_Toc16294"/>
      <w:bookmarkStart w:id="114" w:name="_Toc271034604"/>
      <w:bookmarkStart w:id="115" w:name="_Toc19970"/>
      <w:r>
        <w:rPr>
          <w:rFonts w:hint="eastAsia" w:ascii="仿宋_GB2312" w:hAnsi="仿宋_GB2312" w:eastAsia="仿宋_GB2312" w:cs="仿宋_GB2312"/>
          <w:color w:val="auto"/>
        </w:rPr>
        <w:t>第八部分询比响应文件格式</w:t>
      </w:r>
      <w:bookmarkEnd w:id="105"/>
      <w:bookmarkEnd w:id="106"/>
      <w:bookmarkEnd w:id="107"/>
      <w:bookmarkEnd w:id="108"/>
      <w:bookmarkEnd w:id="109"/>
      <w:bookmarkEnd w:id="110"/>
      <w:bookmarkEnd w:id="111"/>
      <w:bookmarkEnd w:id="112"/>
      <w:bookmarkEnd w:id="113"/>
      <w:bookmarkEnd w:id="114"/>
      <w:bookmarkEnd w:id="115"/>
    </w:p>
    <w:p w14:paraId="79FF9402">
      <w:pPr>
        <w:spacing w:before="120" w:beforeLines="50" w:after="120" w:afterLines="50"/>
        <w:ind w:firstLine="1123"/>
        <w:jc w:val="center"/>
        <w:rPr>
          <w:rFonts w:ascii="仿宋_GB2312" w:hAnsi="仿宋_GB2312" w:eastAsia="仿宋_GB2312" w:cs="仿宋_GB2312"/>
          <w:spacing w:val="40"/>
          <w:w w:val="110"/>
          <w:sz w:val="44"/>
          <w:szCs w:val="44"/>
          <w:lang w:bidi="ar"/>
        </w:rPr>
      </w:pPr>
    </w:p>
    <w:p w14:paraId="5CDE0F21">
      <w:pPr>
        <w:pStyle w:val="20"/>
        <w:ind w:firstLine="1123"/>
        <w:rPr>
          <w:rFonts w:ascii="仿宋_GB2312" w:hAnsi="仿宋_GB2312" w:eastAsia="仿宋_GB2312" w:cs="仿宋_GB2312"/>
          <w:spacing w:val="40"/>
          <w:w w:val="110"/>
          <w:sz w:val="44"/>
          <w:szCs w:val="44"/>
          <w:lang w:bidi="ar"/>
        </w:rPr>
      </w:pPr>
    </w:p>
    <w:p w14:paraId="4DF74F50">
      <w:pPr>
        <w:spacing w:before="120" w:beforeLines="50" w:after="120" w:afterLines="50"/>
        <w:ind w:firstLine="0" w:firstLineChars="0"/>
        <w:jc w:val="center"/>
        <w:outlineLvl w:val="1"/>
        <w:rPr>
          <w:rFonts w:ascii="仿宋_GB2312" w:hAnsi="仿宋_GB2312" w:eastAsia="仿宋_GB2312" w:cs="仿宋_GB2312"/>
          <w:spacing w:val="40"/>
          <w:w w:val="110"/>
          <w:sz w:val="44"/>
          <w:szCs w:val="44"/>
        </w:rPr>
      </w:pPr>
      <w:bookmarkStart w:id="116" w:name="_Toc10241"/>
      <w:bookmarkStart w:id="117" w:name="_Toc3433"/>
      <w:r>
        <w:rPr>
          <w:rFonts w:hint="eastAsia" w:ascii="仿宋_GB2312" w:hAnsi="仿宋_GB2312" w:eastAsia="仿宋_GB2312" w:cs="仿宋_GB2312"/>
          <w:spacing w:val="40"/>
          <w:w w:val="110"/>
          <w:sz w:val="44"/>
          <w:szCs w:val="44"/>
          <w:lang w:bidi="ar"/>
        </w:rPr>
        <w:t>询比响应文件</w:t>
      </w:r>
      <w:bookmarkEnd w:id="116"/>
      <w:bookmarkEnd w:id="117"/>
    </w:p>
    <w:p w14:paraId="23AA803D">
      <w:pPr>
        <w:spacing w:before="100" w:beforeAutospacing="1" w:after="100" w:afterAutospacing="1" w:line="580" w:lineRule="exact"/>
        <w:ind w:firstLine="428" w:firstLineChars="204"/>
        <w:rPr>
          <w:rFonts w:ascii="仿宋_GB2312" w:hAnsi="仿宋_GB2312" w:eastAsia="仿宋_GB2312" w:cs="仿宋_GB2312"/>
        </w:rPr>
      </w:pPr>
    </w:p>
    <w:p w14:paraId="5F066545">
      <w:pPr>
        <w:pStyle w:val="11"/>
        <w:ind w:firstLine="480"/>
        <w:rPr>
          <w:rFonts w:hint="default" w:ascii="仿宋_GB2312" w:hAnsi="仿宋_GB2312" w:eastAsia="仿宋_GB2312" w:cs="仿宋_GB2312"/>
        </w:rPr>
      </w:pPr>
    </w:p>
    <w:p w14:paraId="1368025A">
      <w:pPr>
        <w:pStyle w:val="20"/>
        <w:ind w:firstLine="480"/>
        <w:rPr>
          <w:rFonts w:ascii="仿宋_GB2312" w:hAnsi="仿宋_GB2312" w:eastAsia="仿宋_GB2312" w:cs="仿宋_GB2312"/>
        </w:rPr>
      </w:pPr>
    </w:p>
    <w:p w14:paraId="182EFAF5">
      <w:pPr>
        <w:pStyle w:val="7"/>
        <w:ind w:firstLine="420"/>
        <w:rPr>
          <w:rFonts w:ascii="仿宋_GB2312" w:hAnsi="仿宋_GB2312" w:eastAsia="仿宋_GB2312" w:cs="仿宋_GB2312"/>
        </w:rPr>
      </w:pPr>
    </w:p>
    <w:p w14:paraId="5D5E4EB0">
      <w:pPr>
        <w:ind w:firstLine="420"/>
        <w:rPr>
          <w:rFonts w:ascii="仿宋_GB2312" w:hAnsi="仿宋_GB2312" w:eastAsia="仿宋_GB2312" w:cs="仿宋_GB2312"/>
        </w:rPr>
      </w:pPr>
    </w:p>
    <w:p w14:paraId="05FD8CEF">
      <w:pPr>
        <w:pStyle w:val="20"/>
        <w:ind w:firstLine="480"/>
        <w:rPr>
          <w:rFonts w:ascii="仿宋_GB2312" w:hAnsi="仿宋_GB2312" w:eastAsia="仿宋_GB2312" w:cs="仿宋_GB2312"/>
        </w:rPr>
      </w:pPr>
    </w:p>
    <w:tbl>
      <w:tblPr>
        <w:tblStyle w:val="42"/>
        <w:tblW w:w="0" w:type="auto"/>
        <w:jc w:val="center"/>
        <w:tblLayout w:type="fixed"/>
        <w:tblCellMar>
          <w:top w:w="0" w:type="dxa"/>
          <w:left w:w="108" w:type="dxa"/>
          <w:bottom w:w="0" w:type="dxa"/>
          <w:right w:w="108" w:type="dxa"/>
        </w:tblCellMar>
      </w:tblPr>
      <w:tblGrid>
        <w:gridCol w:w="2023"/>
        <w:gridCol w:w="5750"/>
      </w:tblGrid>
      <w:tr w14:paraId="64259ADB">
        <w:tblPrEx>
          <w:tblCellMar>
            <w:top w:w="0" w:type="dxa"/>
            <w:left w:w="108" w:type="dxa"/>
            <w:bottom w:w="0" w:type="dxa"/>
            <w:right w:w="108" w:type="dxa"/>
          </w:tblCellMar>
        </w:tblPrEx>
        <w:trPr>
          <w:trHeight w:val="608" w:hRule="atLeast"/>
          <w:jc w:val="center"/>
        </w:trPr>
        <w:tc>
          <w:tcPr>
            <w:tcW w:w="2023" w:type="dxa"/>
            <w:tcBorders>
              <w:top w:val="single" w:color="auto" w:sz="4" w:space="0"/>
              <w:left w:val="single" w:color="auto" w:sz="4" w:space="0"/>
              <w:bottom w:val="single" w:color="auto" w:sz="4" w:space="0"/>
              <w:right w:val="single" w:color="auto" w:sz="4" w:space="0"/>
            </w:tcBorders>
            <w:vAlign w:val="bottom"/>
          </w:tcPr>
          <w:p w14:paraId="6B145BE0">
            <w:pPr>
              <w:ind w:firstLine="0" w:firstLineChars="0"/>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项目名称：</w:t>
            </w:r>
          </w:p>
        </w:tc>
        <w:tc>
          <w:tcPr>
            <w:tcW w:w="5750" w:type="dxa"/>
            <w:tcBorders>
              <w:top w:val="single" w:color="auto" w:sz="4" w:space="0"/>
              <w:left w:val="single" w:color="auto" w:sz="4" w:space="0"/>
              <w:bottom w:val="single" w:color="auto" w:sz="4" w:space="0"/>
              <w:right w:val="single" w:color="auto" w:sz="4" w:space="0"/>
            </w:tcBorders>
            <w:vAlign w:val="bottom"/>
          </w:tcPr>
          <w:p w14:paraId="0715A347">
            <w:pPr>
              <w:ind w:firstLine="560"/>
              <w:rPr>
                <w:rFonts w:ascii="仿宋_GB2312" w:hAnsi="仿宋_GB2312" w:eastAsia="仿宋_GB2312" w:cs="仿宋_GB2312"/>
                <w:sz w:val="28"/>
                <w:szCs w:val="28"/>
              </w:rPr>
            </w:pPr>
          </w:p>
        </w:tc>
      </w:tr>
      <w:tr w14:paraId="228D16EF">
        <w:tblPrEx>
          <w:tblCellMar>
            <w:top w:w="0" w:type="dxa"/>
            <w:left w:w="108" w:type="dxa"/>
            <w:bottom w:w="0" w:type="dxa"/>
            <w:right w:w="108" w:type="dxa"/>
          </w:tblCellMar>
        </w:tblPrEx>
        <w:trPr>
          <w:trHeight w:val="744" w:hRule="atLeast"/>
          <w:jc w:val="center"/>
        </w:trPr>
        <w:tc>
          <w:tcPr>
            <w:tcW w:w="2023" w:type="dxa"/>
            <w:tcBorders>
              <w:top w:val="single" w:color="auto" w:sz="4" w:space="0"/>
              <w:left w:val="single" w:color="auto" w:sz="4" w:space="0"/>
              <w:bottom w:val="single" w:color="auto" w:sz="4" w:space="0"/>
              <w:right w:val="single" w:color="auto" w:sz="4" w:space="0"/>
            </w:tcBorders>
            <w:vAlign w:val="bottom"/>
          </w:tcPr>
          <w:p w14:paraId="3BE88E06">
            <w:pPr>
              <w:ind w:firstLine="0" w:firstLineChars="0"/>
              <w:jc w:val="distribute"/>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lang w:bidi="ar"/>
              </w:rPr>
              <w:t>：</w:t>
            </w:r>
          </w:p>
        </w:tc>
        <w:tc>
          <w:tcPr>
            <w:tcW w:w="5750" w:type="dxa"/>
            <w:tcBorders>
              <w:top w:val="single" w:color="auto" w:sz="4" w:space="0"/>
              <w:left w:val="single" w:color="auto" w:sz="4" w:space="0"/>
              <w:bottom w:val="single" w:color="auto" w:sz="4" w:space="0"/>
              <w:right w:val="single" w:color="auto" w:sz="4" w:space="0"/>
            </w:tcBorders>
            <w:vAlign w:val="bottom"/>
          </w:tcPr>
          <w:p w14:paraId="639D3F2A">
            <w:pPr>
              <w:ind w:firstLine="560"/>
              <w:rPr>
                <w:rFonts w:ascii="仿宋_GB2312" w:hAnsi="仿宋_GB2312" w:eastAsia="仿宋_GB2312" w:cs="仿宋_GB2312"/>
                <w:sz w:val="28"/>
                <w:szCs w:val="28"/>
              </w:rPr>
            </w:pPr>
          </w:p>
        </w:tc>
      </w:tr>
      <w:tr w14:paraId="16E2F43D">
        <w:tblPrEx>
          <w:tblCellMar>
            <w:top w:w="0" w:type="dxa"/>
            <w:left w:w="108" w:type="dxa"/>
            <w:bottom w:w="0" w:type="dxa"/>
            <w:right w:w="108" w:type="dxa"/>
          </w:tblCellMar>
        </w:tblPrEx>
        <w:trPr>
          <w:trHeight w:val="672" w:hRule="atLeast"/>
          <w:jc w:val="center"/>
        </w:trPr>
        <w:tc>
          <w:tcPr>
            <w:tcW w:w="2023" w:type="dxa"/>
            <w:tcBorders>
              <w:top w:val="single" w:color="auto" w:sz="4" w:space="0"/>
              <w:left w:val="single" w:color="auto" w:sz="4" w:space="0"/>
              <w:bottom w:val="single" w:color="auto" w:sz="4" w:space="0"/>
              <w:right w:val="single" w:color="auto" w:sz="4" w:space="0"/>
            </w:tcBorders>
            <w:vAlign w:val="bottom"/>
          </w:tcPr>
          <w:p w14:paraId="19B59F26">
            <w:pPr>
              <w:ind w:firstLine="0" w:firstLineChars="0"/>
              <w:jc w:val="distribute"/>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日期：</w:t>
            </w:r>
          </w:p>
        </w:tc>
        <w:tc>
          <w:tcPr>
            <w:tcW w:w="5750" w:type="dxa"/>
            <w:tcBorders>
              <w:top w:val="single" w:color="auto" w:sz="4" w:space="0"/>
              <w:left w:val="single" w:color="auto" w:sz="4" w:space="0"/>
              <w:bottom w:val="single" w:color="auto" w:sz="4" w:space="0"/>
              <w:right w:val="single" w:color="auto" w:sz="4" w:space="0"/>
            </w:tcBorders>
            <w:vAlign w:val="bottom"/>
          </w:tcPr>
          <w:p w14:paraId="67A743DA">
            <w:pPr>
              <w:ind w:firstLine="560"/>
              <w:rPr>
                <w:rFonts w:ascii="仿宋_GB2312" w:hAnsi="仿宋_GB2312" w:eastAsia="仿宋_GB2312" w:cs="仿宋_GB2312"/>
                <w:sz w:val="28"/>
                <w:szCs w:val="28"/>
              </w:rPr>
            </w:pPr>
          </w:p>
        </w:tc>
      </w:tr>
    </w:tbl>
    <w:p w14:paraId="1BC08D2C">
      <w:pPr>
        <w:widowControl/>
        <w:spacing w:line="400" w:lineRule="exact"/>
        <w:ind w:firstLine="643"/>
        <w:jc w:val="center"/>
        <w:rPr>
          <w:rFonts w:ascii="仿宋_GB2312" w:hAnsi="仿宋_GB2312" w:eastAsia="仿宋_GB2312" w:cs="仿宋_GB2312"/>
          <w:b/>
          <w:kern w:val="0"/>
          <w:sz w:val="32"/>
          <w:szCs w:val="32"/>
          <w:lang w:bidi="ar"/>
        </w:rPr>
      </w:pPr>
      <w:bookmarkStart w:id="118" w:name="_Toc31083"/>
      <w:bookmarkStart w:id="119" w:name="_Toc10361"/>
    </w:p>
    <w:p w14:paraId="44F48FA0">
      <w:pPr>
        <w:ind w:firstLine="0" w:firstLineChars="0"/>
        <w:jc w:val="center"/>
        <w:rPr>
          <w:rFonts w:ascii="仿宋_GB2312" w:hAnsi="仿宋_GB2312" w:eastAsia="仿宋_GB2312" w:cs="仿宋_GB2312"/>
          <w:b/>
          <w:bCs/>
        </w:rPr>
      </w:pPr>
      <w:bookmarkStart w:id="120" w:name="_Toc12529"/>
      <w:bookmarkStart w:id="121" w:name="_Toc9499"/>
      <w:bookmarkStart w:id="122" w:name="_Toc435"/>
      <w:bookmarkStart w:id="123" w:name="_Toc17164"/>
      <w:bookmarkStart w:id="124" w:name="_Toc12368"/>
    </w:p>
    <w:p w14:paraId="7536C144">
      <w:pPr>
        <w:pStyle w:val="4"/>
        <w:ind w:firstLine="643"/>
        <w:rPr>
          <w:rFonts w:ascii="仿宋_GB2312" w:hAnsi="仿宋_GB2312" w:eastAsia="仿宋_GB2312" w:cs="仿宋_GB2312"/>
        </w:rPr>
      </w:pPr>
    </w:p>
    <w:p w14:paraId="50A14D3B">
      <w:pPr>
        <w:ind w:firstLine="420"/>
        <w:rPr>
          <w:rFonts w:ascii="仿宋_GB2312" w:hAnsi="仿宋_GB2312" w:eastAsia="仿宋_GB2312" w:cs="仿宋_GB2312"/>
        </w:rPr>
      </w:pPr>
    </w:p>
    <w:p w14:paraId="571CB044">
      <w:pPr>
        <w:pStyle w:val="11"/>
        <w:ind w:firstLine="480"/>
        <w:rPr>
          <w:rFonts w:hint="default" w:ascii="仿宋_GB2312" w:hAnsi="仿宋_GB2312" w:eastAsia="仿宋_GB2312" w:cs="仿宋_GB2312"/>
        </w:rPr>
      </w:pPr>
    </w:p>
    <w:p w14:paraId="02A306C2">
      <w:pPr>
        <w:ind w:firstLine="0" w:firstLineChars="0"/>
        <w:jc w:val="both"/>
        <w:rPr>
          <w:rFonts w:ascii="仿宋_GB2312" w:hAnsi="仿宋_GB2312" w:eastAsia="仿宋_GB2312" w:cs="仿宋_GB2312"/>
          <w:b/>
          <w:bCs/>
        </w:rPr>
      </w:pPr>
    </w:p>
    <w:p w14:paraId="43470317">
      <w:pPr>
        <w:ind w:firstLine="0" w:firstLineChars="0"/>
        <w:jc w:val="center"/>
        <w:rPr>
          <w:rFonts w:ascii="仿宋" w:hAnsi="仿宋" w:eastAsia="仿宋" w:cs="仿宋"/>
          <w:b/>
          <w:bCs/>
          <w:sz w:val="24"/>
          <w:szCs w:val="24"/>
        </w:rPr>
      </w:pPr>
    </w:p>
    <w:p w14:paraId="164E4F32">
      <w:pPr>
        <w:ind w:firstLine="0" w:firstLineChars="0"/>
        <w:jc w:val="center"/>
        <w:rPr>
          <w:rFonts w:ascii="仿宋" w:hAnsi="仿宋" w:eastAsia="仿宋" w:cs="仿宋"/>
          <w:b/>
          <w:bCs/>
          <w:sz w:val="24"/>
          <w:szCs w:val="24"/>
        </w:rPr>
      </w:pPr>
    </w:p>
    <w:p w14:paraId="1E23912F">
      <w:pPr>
        <w:ind w:firstLine="0" w:firstLineChars="0"/>
        <w:jc w:val="center"/>
        <w:rPr>
          <w:rFonts w:ascii="仿宋" w:hAnsi="仿宋" w:eastAsia="仿宋" w:cs="仿宋"/>
          <w:b/>
          <w:bCs/>
          <w:sz w:val="24"/>
          <w:szCs w:val="24"/>
        </w:rPr>
      </w:pPr>
    </w:p>
    <w:p w14:paraId="5540E05E">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目 录</w:t>
      </w:r>
      <w:bookmarkEnd w:id="118"/>
      <w:bookmarkEnd w:id="119"/>
      <w:bookmarkEnd w:id="120"/>
      <w:bookmarkEnd w:id="121"/>
      <w:bookmarkEnd w:id="122"/>
      <w:bookmarkEnd w:id="123"/>
      <w:bookmarkEnd w:id="124"/>
    </w:p>
    <w:p w14:paraId="34EC609F">
      <w:pPr>
        <w:pStyle w:val="36"/>
        <w:tabs>
          <w:tab w:val="right" w:leader="dot" w:pos="9632"/>
        </w:tabs>
        <w:ind w:firstLine="480"/>
        <w:rPr>
          <w:rFonts w:ascii="仿宋" w:hAnsi="仿宋" w:eastAsia="仿宋" w:cs="仿宋"/>
          <w:sz w:val="24"/>
          <w:szCs w:val="24"/>
        </w:rPr>
      </w:pPr>
      <w:bookmarkStart w:id="125" w:name="_Toc9734"/>
    </w:p>
    <w:p w14:paraId="6B4391DF">
      <w:pPr>
        <w:ind w:firstLine="0" w:firstLineChars="0"/>
        <w:rPr>
          <w:rFonts w:ascii="仿宋" w:hAnsi="仿宋" w:eastAsia="仿宋" w:cs="仿宋"/>
          <w:sz w:val="24"/>
          <w:szCs w:val="24"/>
        </w:rPr>
      </w:pPr>
      <w:r>
        <w:rPr>
          <w:rFonts w:hint="eastAsia" w:ascii="仿宋" w:hAnsi="仿宋" w:eastAsia="仿宋" w:cs="仿宋"/>
          <w:sz w:val="24"/>
          <w:szCs w:val="24"/>
        </w:rPr>
        <w:t>一、报价文件</w:t>
      </w:r>
    </w:p>
    <w:p w14:paraId="1A3FF740">
      <w:pPr>
        <w:ind w:firstLine="0" w:firstLineChars="0"/>
        <w:rPr>
          <w:rFonts w:ascii="仿宋" w:hAnsi="仿宋" w:eastAsia="仿宋" w:cs="仿宋"/>
          <w:sz w:val="24"/>
          <w:szCs w:val="24"/>
        </w:rPr>
      </w:pPr>
      <w:r>
        <w:rPr>
          <w:rFonts w:hint="eastAsia" w:ascii="仿宋" w:hAnsi="仿宋" w:eastAsia="仿宋" w:cs="仿宋"/>
          <w:sz w:val="24"/>
          <w:szCs w:val="24"/>
        </w:rPr>
        <w:t>二、资格文件</w:t>
      </w:r>
    </w:p>
    <w:p w14:paraId="38CA3D59">
      <w:pPr>
        <w:ind w:firstLine="0" w:firstLineChars="0"/>
        <w:rPr>
          <w:rFonts w:ascii="仿宋" w:hAnsi="仿宋" w:eastAsia="仿宋" w:cs="仿宋"/>
          <w:sz w:val="24"/>
          <w:szCs w:val="24"/>
        </w:rPr>
      </w:pPr>
      <w:r>
        <w:rPr>
          <w:rFonts w:hint="eastAsia" w:ascii="仿宋" w:hAnsi="仿宋" w:eastAsia="仿宋" w:cs="仿宋"/>
          <w:sz w:val="24"/>
          <w:szCs w:val="24"/>
        </w:rPr>
        <w:t>三、其他资料</w:t>
      </w:r>
    </w:p>
    <w:p w14:paraId="41A05A72">
      <w:pPr>
        <w:ind w:firstLine="480"/>
        <w:jc w:val="center"/>
        <w:outlineLvl w:val="1"/>
        <w:rPr>
          <w:rFonts w:ascii="仿宋" w:hAnsi="仿宋" w:eastAsia="仿宋" w:cs="仿宋"/>
          <w:sz w:val="28"/>
          <w:szCs w:val="28"/>
        </w:rPr>
      </w:pPr>
      <w:r>
        <w:rPr>
          <w:rFonts w:hint="eastAsia" w:ascii="Arial" w:hAnsi="Arial" w:eastAsia="Arial" w:cs="Arial"/>
          <w:sz w:val="24"/>
          <w:szCs w:val="24"/>
        </w:rPr>
        <w:br w:type="page"/>
      </w:r>
      <w:bookmarkEnd w:id="125"/>
      <w:bookmarkStart w:id="126" w:name="_Toc6448"/>
      <w:r>
        <w:rPr>
          <w:rFonts w:hint="eastAsia" w:ascii="仿宋" w:hAnsi="仿宋" w:eastAsia="仿宋" w:cs="仿宋"/>
          <w:b/>
          <w:bCs/>
          <w:sz w:val="28"/>
          <w:szCs w:val="28"/>
        </w:rPr>
        <w:t>一、报价文件</w:t>
      </w:r>
      <w:bookmarkEnd w:id="126"/>
    </w:p>
    <w:p w14:paraId="3FBA9C75">
      <w:pPr>
        <w:ind w:firstLine="482"/>
        <w:jc w:val="center"/>
        <w:outlineLvl w:val="2"/>
        <w:rPr>
          <w:rFonts w:ascii="仿宋" w:hAnsi="仿宋" w:eastAsia="仿宋" w:cs="仿宋"/>
          <w:b/>
          <w:bCs/>
          <w:sz w:val="24"/>
          <w:szCs w:val="24"/>
        </w:rPr>
      </w:pPr>
      <w:bookmarkStart w:id="127" w:name="_Toc8189"/>
      <w:bookmarkStart w:id="128" w:name="_Toc12757"/>
      <w:bookmarkStart w:id="129" w:name="_Toc7538"/>
      <w:bookmarkStart w:id="130" w:name="_Toc14431"/>
      <w:bookmarkStart w:id="131" w:name="_Toc8025"/>
      <w:r>
        <w:rPr>
          <w:rFonts w:hint="eastAsia" w:ascii="仿宋" w:hAnsi="仿宋" w:eastAsia="仿宋" w:cs="仿宋"/>
          <w:b/>
          <w:bCs/>
          <w:sz w:val="24"/>
          <w:szCs w:val="24"/>
        </w:rPr>
        <w:t>1.1.询比函</w:t>
      </w:r>
      <w:bookmarkEnd w:id="127"/>
      <w:bookmarkEnd w:id="128"/>
      <w:bookmarkEnd w:id="129"/>
      <w:bookmarkEnd w:id="130"/>
      <w:bookmarkEnd w:id="131"/>
    </w:p>
    <w:p w14:paraId="7511148F">
      <w:pPr>
        <w:pStyle w:val="38"/>
        <w:spacing w:before="0" w:beforeAutospacing="0" w:after="0" w:afterAutospacing="0"/>
        <w:ind w:firstLine="0" w:firstLineChars="0"/>
        <w:rPr>
          <w:rFonts w:ascii="仿宋" w:hAnsi="仿宋" w:eastAsia="仿宋" w:cs="仿宋"/>
          <w:szCs w:val="24"/>
        </w:rPr>
      </w:pPr>
      <w:bookmarkStart w:id="132" w:name="_Toc23765"/>
      <w:bookmarkStart w:id="133" w:name="_Toc19942"/>
      <w:bookmarkStart w:id="134" w:name="_Toc17553"/>
      <w:r>
        <w:rPr>
          <w:rFonts w:hint="eastAsia" w:ascii="仿宋" w:hAnsi="仿宋" w:eastAsia="仿宋" w:cs="仿宋"/>
          <w:szCs w:val="24"/>
          <w:lang w:bidi="ar"/>
        </w:rPr>
        <w:t>致</w:t>
      </w:r>
      <w:r>
        <w:rPr>
          <w:rFonts w:hint="eastAsia" w:ascii="仿宋" w:hAnsi="仿宋" w:eastAsia="仿宋" w:cs="仿宋"/>
          <w:szCs w:val="24"/>
          <w:u w:val="single"/>
          <w:lang w:bidi="ar"/>
        </w:rPr>
        <w:t>（采购人名称）</w:t>
      </w:r>
      <w:r>
        <w:rPr>
          <w:rFonts w:hint="eastAsia" w:ascii="仿宋" w:hAnsi="仿宋" w:eastAsia="仿宋" w:cs="仿宋"/>
          <w:szCs w:val="24"/>
          <w:lang w:bidi="ar"/>
        </w:rPr>
        <w:t>：</w:t>
      </w:r>
      <w:bookmarkEnd w:id="132"/>
      <w:bookmarkEnd w:id="133"/>
      <w:bookmarkEnd w:id="134"/>
    </w:p>
    <w:p w14:paraId="2B4EACE8">
      <w:pPr>
        <w:pStyle w:val="38"/>
        <w:wordWrap w:val="0"/>
        <w:spacing w:before="0" w:beforeAutospacing="0" w:after="0" w:afterAutospacing="0"/>
        <w:ind w:firstLine="480" w:firstLineChars="0"/>
        <w:rPr>
          <w:rFonts w:ascii="仿宋" w:hAnsi="仿宋" w:eastAsia="仿宋" w:cs="仿宋"/>
          <w:b/>
          <w:kern w:val="0"/>
          <w:szCs w:val="24"/>
        </w:rPr>
      </w:pPr>
      <w:r>
        <w:rPr>
          <w:rFonts w:hint="eastAsia" w:ascii="仿宋" w:hAnsi="仿宋" w:eastAsia="仿宋" w:cs="仿宋"/>
          <w:b/>
          <w:szCs w:val="24"/>
          <w:lang w:bidi="ar"/>
        </w:rPr>
        <w:t>1.</w:t>
      </w:r>
      <w:r>
        <w:rPr>
          <w:rFonts w:hint="eastAsia" w:ascii="仿宋" w:hAnsi="仿宋" w:eastAsia="仿宋" w:cs="仿宋"/>
          <w:szCs w:val="24"/>
        </w:rPr>
        <w:t>我公司</w:t>
      </w:r>
      <w:r>
        <w:rPr>
          <w:rFonts w:hint="eastAsia" w:ascii="仿宋" w:hAnsi="仿宋" w:eastAsia="仿宋" w:cs="仿宋"/>
          <w:szCs w:val="24"/>
          <w:lang w:bidi="ar"/>
        </w:rPr>
        <w:t>就</w:t>
      </w:r>
      <w:r>
        <w:rPr>
          <w:rFonts w:hint="eastAsia" w:ascii="仿宋" w:hAnsi="仿宋" w:eastAsia="仿宋" w:cs="仿宋"/>
          <w:szCs w:val="24"/>
          <w:u w:val="single"/>
          <w:lang w:bidi="ar"/>
        </w:rPr>
        <w:t>（  ）</w:t>
      </w:r>
      <w:r>
        <w:rPr>
          <w:rFonts w:hint="eastAsia" w:ascii="仿宋" w:hAnsi="仿宋" w:eastAsia="仿宋" w:cs="仿宋"/>
          <w:szCs w:val="24"/>
          <w:lang w:bidi="ar"/>
        </w:rPr>
        <w:t>的</w:t>
      </w:r>
      <w:r>
        <w:rPr>
          <w:rFonts w:hint="eastAsia" w:ascii="仿宋" w:hAnsi="仿宋" w:eastAsia="仿宋" w:cs="仿宋"/>
          <w:szCs w:val="24"/>
        </w:rPr>
        <w:t>询比报价总价（含税）为大写：人民币</w:t>
      </w:r>
      <w:r>
        <w:rPr>
          <w:rFonts w:hint="eastAsia" w:ascii="仿宋" w:hAnsi="仿宋" w:eastAsia="仿宋" w:cs="仿宋"/>
          <w:szCs w:val="24"/>
          <w:u w:val="single"/>
        </w:rPr>
        <w:t xml:space="preserve">         </w:t>
      </w:r>
      <w:r>
        <w:rPr>
          <w:rFonts w:hint="eastAsia" w:ascii="仿宋" w:hAnsi="仿宋" w:eastAsia="仿宋" w:cs="仿宋"/>
          <w:szCs w:val="24"/>
        </w:rPr>
        <w:t xml:space="preserve"> （小写：¥</w:t>
      </w:r>
      <w:r>
        <w:rPr>
          <w:rFonts w:hint="eastAsia" w:ascii="仿宋" w:hAnsi="仿宋" w:eastAsia="仿宋" w:cs="仿宋"/>
          <w:szCs w:val="24"/>
          <w:u w:val="single"/>
        </w:rPr>
        <w:t xml:space="preserve">          </w:t>
      </w:r>
      <w:r>
        <w:rPr>
          <w:rFonts w:hint="eastAsia" w:ascii="仿宋" w:hAnsi="仿宋" w:eastAsia="仿宋" w:cs="仿宋"/>
          <w:szCs w:val="24"/>
        </w:rPr>
        <w:t>元）；其中，不含增值税报价为大写：人民币</w:t>
      </w:r>
      <w:r>
        <w:rPr>
          <w:rFonts w:hint="eastAsia" w:ascii="仿宋" w:hAnsi="仿宋" w:eastAsia="仿宋" w:cs="仿宋"/>
          <w:szCs w:val="24"/>
          <w:u w:val="single"/>
        </w:rPr>
        <w:t xml:space="preserve">         </w:t>
      </w:r>
      <w:r>
        <w:rPr>
          <w:rFonts w:hint="eastAsia" w:ascii="仿宋" w:hAnsi="仿宋" w:eastAsia="仿宋" w:cs="仿宋"/>
          <w:szCs w:val="24"/>
        </w:rPr>
        <w:t xml:space="preserve"> （小写：¥</w:t>
      </w:r>
      <w:r>
        <w:rPr>
          <w:rFonts w:hint="eastAsia" w:ascii="仿宋" w:hAnsi="仿宋" w:eastAsia="仿宋" w:cs="仿宋"/>
          <w:szCs w:val="24"/>
          <w:u w:val="single"/>
        </w:rPr>
        <w:t xml:space="preserve">          </w:t>
      </w:r>
      <w:r>
        <w:rPr>
          <w:rFonts w:hint="eastAsia" w:ascii="仿宋" w:hAnsi="仿宋" w:eastAsia="仿宋" w:cs="仿宋"/>
          <w:szCs w:val="24"/>
        </w:rPr>
        <w:t>元），增值税税率为：</w:t>
      </w:r>
      <w:r>
        <w:rPr>
          <w:rFonts w:hint="eastAsia" w:ascii="仿宋" w:hAnsi="仿宋" w:eastAsia="仿宋" w:cs="仿宋"/>
          <w:szCs w:val="24"/>
          <w:u w:val="single"/>
        </w:rPr>
        <w:t xml:space="preserve">     </w:t>
      </w:r>
      <w:r>
        <w:rPr>
          <w:rFonts w:hint="eastAsia" w:ascii="仿宋" w:hAnsi="仿宋" w:eastAsia="仿宋" w:cs="仿宋"/>
          <w:szCs w:val="24"/>
        </w:rPr>
        <w:t>%，增值税税额为大写：人民币</w:t>
      </w:r>
      <w:r>
        <w:rPr>
          <w:rFonts w:hint="eastAsia" w:ascii="仿宋" w:hAnsi="仿宋" w:eastAsia="仿宋" w:cs="仿宋"/>
          <w:szCs w:val="24"/>
          <w:u w:val="single"/>
        </w:rPr>
        <w:t xml:space="preserve">         </w:t>
      </w:r>
      <w:r>
        <w:rPr>
          <w:rFonts w:hint="eastAsia" w:ascii="仿宋" w:hAnsi="仿宋" w:eastAsia="仿宋" w:cs="仿宋"/>
          <w:szCs w:val="24"/>
        </w:rPr>
        <w:t xml:space="preserve"> （小写：¥</w:t>
      </w:r>
      <w:r>
        <w:rPr>
          <w:rFonts w:hint="eastAsia" w:ascii="仿宋" w:hAnsi="仿宋" w:eastAsia="仿宋" w:cs="仿宋"/>
          <w:szCs w:val="24"/>
          <w:u w:val="single"/>
        </w:rPr>
        <w:t xml:space="preserve">          </w:t>
      </w:r>
      <w:r>
        <w:rPr>
          <w:rFonts w:hint="eastAsia" w:ascii="仿宋" w:hAnsi="仿宋" w:eastAsia="仿宋" w:cs="仿宋"/>
          <w:szCs w:val="24"/>
        </w:rPr>
        <w:t>元）。</w:t>
      </w:r>
      <w:r>
        <w:rPr>
          <w:rFonts w:hint="eastAsia" w:ascii="仿宋" w:hAnsi="仿宋" w:eastAsia="仿宋" w:cs="仿宋"/>
          <w:b/>
          <w:szCs w:val="24"/>
          <w:lang w:bidi="ar"/>
        </w:rPr>
        <w:t>询比单价（含税）详见分项报价表，本报价在合同有效期内不受利率波动的影响。</w:t>
      </w:r>
    </w:p>
    <w:p w14:paraId="044C1CF9">
      <w:pPr>
        <w:ind w:firstLine="480"/>
        <w:rPr>
          <w:rFonts w:ascii="仿宋" w:hAnsi="仿宋" w:eastAsia="仿宋" w:cs="仿宋"/>
          <w:sz w:val="24"/>
          <w:szCs w:val="24"/>
        </w:rPr>
      </w:pPr>
      <w:bookmarkStart w:id="135" w:name="_Toc27160"/>
      <w:bookmarkStart w:id="136" w:name="_Toc14404"/>
      <w:bookmarkStart w:id="137" w:name="_Toc9023"/>
      <w:bookmarkStart w:id="138" w:name="_Toc8677"/>
      <w:r>
        <w:rPr>
          <w:rFonts w:hint="eastAsia" w:ascii="仿宋" w:hAnsi="仿宋" w:eastAsia="仿宋" w:cs="仿宋"/>
          <w:sz w:val="24"/>
          <w:szCs w:val="24"/>
        </w:rPr>
        <w:t>2.交货期：</w:t>
      </w:r>
    </w:p>
    <w:p w14:paraId="77002404">
      <w:pPr>
        <w:ind w:firstLine="480"/>
        <w:rPr>
          <w:rFonts w:ascii="仿宋" w:hAnsi="仿宋" w:eastAsia="仿宋" w:cs="仿宋"/>
          <w:sz w:val="24"/>
          <w:szCs w:val="24"/>
        </w:rPr>
      </w:pPr>
      <w:r>
        <w:rPr>
          <w:rFonts w:hint="eastAsia" w:ascii="仿宋" w:hAnsi="仿宋" w:eastAsia="仿宋" w:cs="仿宋"/>
          <w:sz w:val="24"/>
          <w:szCs w:val="24"/>
        </w:rPr>
        <w:t>3.交货地点：</w:t>
      </w:r>
    </w:p>
    <w:p w14:paraId="5B72AA0F">
      <w:pPr>
        <w:ind w:firstLine="480"/>
        <w:rPr>
          <w:rFonts w:ascii="仿宋" w:hAnsi="仿宋" w:eastAsia="仿宋" w:cs="仿宋"/>
          <w:sz w:val="24"/>
          <w:szCs w:val="24"/>
        </w:rPr>
      </w:pPr>
      <w:r>
        <w:rPr>
          <w:rFonts w:hint="eastAsia" w:ascii="仿宋" w:hAnsi="仿宋" w:eastAsia="仿宋" w:cs="仿宋"/>
          <w:sz w:val="24"/>
          <w:szCs w:val="24"/>
        </w:rPr>
        <w:t>4.质量标准：</w:t>
      </w:r>
    </w:p>
    <w:p w14:paraId="58F2DDFC">
      <w:pPr>
        <w:ind w:firstLine="480"/>
        <w:rPr>
          <w:rFonts w:ascii="仿宋" w:hAnsi="仿宋" w:eastAsia="仿宋" w:cs="仿宋"/>
          <w:sz w:val="24"/>
          <w:szCs w:val="24"/>
        </w:rPr>
      </w:pPr>
      <w:r>
        <w:rPr>
          <w:rFonts w:hint="eastAsia" w:ascii="仿宋" w:hAnsi="仿宋" w:eastAsia="仿宋" w:cs="仿宋"/>
          <w:sz w:val="24"/>
          <w:szCs w:val="24"/>
        </w:rPr>
        <w:t>5.询比有效期:从询比截止时间起计，90日历天。</w:t>
      </w:r>
    </w:p>
    <w:p w14:paraId="783AF2E5">
      <w:pPr>
        <w:snapToGrid w:val="0"/>
        <w:ind w:firstLine="480"/>
        <w:outlineLvl w:val="0"/>
        <w:rPr>
          <w:rFonts w:ascii="仿宋" w:hAnsi="仿宋" w:eastAsia="仿宋" w:cs="仿宋"/>
          <w:sz w:val="24"/>
          <w:szCs w:val="24"/>
        </w:rPr>
      </w:pPr>
      <w:r>
        <w:rPr>
          <w:rFonts w:hint="eastAsia" w:ascii="仿宋" w:hAnsi="仿宋" w:eastAsia="仿宋" w:cs="仿宋"/>
          <w:sz w:val="24"/>
          <w:szCs w:val="24"/>
        </w:rPr>
        <w:t>6.履约保证金：/</w:t>
      </w:r>
    </w:p>
    <w:p w14:paraId="0885400B">
      <w:pPr>
        <w:ind w:firstLine="480"/>
        <w:rPr>
          <w:rFonts w:ascii="仿宋" w:hAnsi="仿宋" w:eastAsia="仿宋" w:cs="仿宋"/>
          <w:sz w:val="24"/>
          <w:szCs w:val="24"/>
        </w:rPr>
      </w:pPr>
      <w:r>
        <w:rPr>
          <w:rFonts w:hint="eastAsia" w:ascii="仿宋" w:hAnsi="仿宋" w:eastAsia="仿宋" w:cs="仿宋"/>
          <w:sz w:val="24"/>
          <w:szCs w:val="24"/>
        </w:rPr>
        <w:t>7.付款方式：</w:t>
      </w:r>
      <w:r>
        <w:rPr>
          <w:rFonts w:hint="eastAsia" w:ascii="仿宋" w:hAnsi="仿宋" w:eastAsia="仿宋" w:cs="仿宋"/>
          <w:sz w:val="24"/>
          <w:szCs w:val="24"/>
          <w:u w:val="single"/>
          <w:lang w:bidi="ar"/>
        </w:rPr>
        <w:t xml:space="preserve">        </w:t>
      </w:r>
      <w:r>
        <w:rPr>
          <w:rFonts w:hint="eastAsia" w:ascii="仿宋" w:hAnsi="仿宋" w:eastAsia="仿宋" w:cs="仿宋"/>
          <w:sz w:val="24"/>
          <w:szCs w:val="24"/>
        </w:rPr>
        <w:t>。</w:t>
      </w:r>
    </w:p>
    <w:p w14:paraId="7AF69B6B">
      <w:pPr>
        <w:ind w:firstLine="480"/>
        <w:rPr>
          <w:rFonts w:ascii="仿宋" w:hAnsi="仿宋" w:eastAsia="仿宋" w:cs="仿宋"/>
          <w:sz w:val="24"/>
          <w:szCs w:val="24"/>
        </w:rPr>
      </w:pPr>
      <w:bookmarkStart w:id="139" w:name="_Toc14865"/>
      <w:r>
        <w:rPr>
          <w:rFonts w:hint="eastAsia" w:ascii="仿宋" w:hAnsi="仿宋" w:eastAsia="仿宋" w:cs="仿宋"/>
          <w:sz w:val="24"/>
          <w:szCs w:val="24"/>
        </w:rPr>
        <w:t>二、递交资料</w:t>
      </w:r>
      <w:bookmarkEnd w:id="135"/>
      <w:bookmarkEnd w:id="136"/>
      <w:bookmarkEnd w:id="137"/>
      <w:bookmarkEnd w:id="138"/>
      <w:bookmarkEnd w:id="139"/>
    </w:p>
    <w:p w14:paraId="61B54544">
      <w:pPr>
        <w:ind w:firstLine="480"/>
        <w:rPr>
          <w:rFonts w:ascii="仿宋" w:hAnsi="仿宋" w:eastAsia="仿宋" w:cs="仿宋"/>
          <w:sz w:val="24"/>
          <w:szCs w:val="24"/>
        </w:rPr>
      </w:pPr>
      <w:r>
        <w:rPr>
          <w:rFonts w:hint="eastAsia" w:ascii="仿宋" w:hAnsi="仿宋" w:eastAsia="仿宋" w:cs="仿宋"/>
          <w:sz w:val="24"/>
          <w:szCs w:val="24"/>
          <w:lang w:bidi="ar"/>
        </w:rPr>
        <w:t>询比响应文件。</w:t>
      </w:r>
    </w:p>
    <w:p w14:paraId="022F230A">
      <w:pPr>
        <w:spacing w:line="360" w:lineRule="exact"/>
        <w:ind w:firstLine="480"/>
        <w:outlineLvl w:val="1"/>
        <w:rPr>
          <w:rFonts w:ascii="仿宋" w:hAnsi="仿宋" w:eastAsia="仿宋" w:cs="仿宋"/>
          <w:sz w:val="24"/>
          <w:szCs w:val="24"/>
        </w:rPr>
      </w:pPr>
      <w:bookmarkStart w:id="140" w:name="_Toc9534"/>
      <w:bookmarkStart w:id="141" w:name="_Toc24323"/>
      <w:bookmarkStart w:id="142" w:name="_Toc4643"/>
      <w:bookmarkStart w:id="143" w:name="_Toc13591"/>
      <w:bookmarkStart w:id="144" w:name="_Toc15364"/>
      <w:r>
        <w:rPr>
          <w:rFonts w:hint="eastAsia" w:ascii="仿宋" w:hAnsi="仿宋" w:eastAsia="仿宋" w:cs="仿宋"/>
          <w:sz w:val="24"/>
          <w:szCs w:val="24"/>
        </w:rPr>
        <w:t>三、相关承诺</w:t>
      </w:r>
      <w:bookmarkEnd w:id="140"/>
      <w:bookmarkEnd w:id="141"/>
      <w:bookmarkEnd w:id="142"/>
      <w:bookmarkEnd w:id="143"/>
      <w:bookmarkEnd w:id="144"/>
    </w:p>
    <w:p w14:paraId="655FE83C">
      <w:pPr>
        <w:ind w:firstLine="480"/>
        <w:rPr>
          <w:rFonts w:ascii="仿宋" w:hAnsi="仿宋" w:eastAsia="仿宋" w:cs="仿宋"/>
          <w:sz w:val="24"/>
          <w:szCs w:val="24"/>
        </w:rPr>
      </w:pPr>
      <w:r>
        <w:rPr>
          <w:rFonts w:hint="eastAsia" w:ascii="仿宋" w:hAnsi="仿宋" w:eastAsia="仿宋" w:cs="仿宋"/>
          <w:sz w:val="24"/>
          <w:szCs w:val="24"/>
        </w:rPr>
        <w:t>1.本询比报价在法律法规及询比文件规定的询比有效期内有效；</w:t>
      </w:r>
    </w:p>
    <w:p w14:paraId="2B5D2915">
      <w:pPr>
        <w:ind w:firstLine="480"/>
        <w:outlineLvl w:val="2"/>
        <w:rPr>
          <w:rFonts w:ascii="仿宋" w:hAnsi="仿宋" w:eastAsia="仿宋" w:cs="仿宋"/>
          <w:sz w:val="24"/>
          <w:szCs w:val="24"/>
        </w:rPr>
      </w:pPr>
      <w:bookmarkStart w:id="145" w:name="_Toc10476"/>
      <w:r>
        <w:rPr>
          <w:rFonts w:hint="eastAsia" w:ascii="仿宋" w:hAnsi="仿宋" w:eastAsia="仿宋" w:cs="仿宋"/>
          <w:sz w:val="24"/>
          <w:szCs w:val="24"/>
        </w:rPr>
        <w:t>2.我方不是采购人的附属机构；</w:t>
      </w:r>
      <w:bookmarkEnd w:id="145"/>
    </w:p>
    <w:p w14:paraId="2FFDC899">
      <w:pPr>
        <w:ind w:firstLine="480"/>
        <w:rPr>
          <w:rFonts w:ascii="仿宋" w:hAnsi="仿宋" w:eastAsia="仿宋" w:cs="仿宋"/>
          <w:sz w:val="24"/>
          <w:szCs w:val="24"/>
        </w:rPr>
      </w:pPr>
      <w:r>
        <w:rPr>
          <w:rFonts w:hint="eastAsia" w:ascii="仿宋" w:hAnsi="仿宋" w:eastAsia="仿宋" w:cs="仿宋"/>
          <w:sz w:val="24"/>
          <w:szCs w:val="24"/>
        </w:rPr>
        <w:t>3.我方已详细审查全部询比文件及有关的澄清/修改文件，完全理解和同意，并保证遵守询比文件有关条款规定；</w:t>
      </w:r>
    </w:p>
    <w:p w14:paraId="36055160">
      <w:pPr>
        <w:ind w:firstLine="480"/>
        <w:rPr>
          <w:rFonts w:ascii="仿宋" w:hAnsi="仿宋" w:eastAsia="仿宋" w:cs="仿宋"/>
          <w:sz w:val="24"/>
          <w:szCs w:val="24"/>
        </w:rPr>
      </w:pPr>
      <w:r>
        <w:rPr>
          <w:rFonts w:hint="eastAsia" w:ascii="仿宋" w:hAnsi="仿宋" w:eastAsia="仿宋" w:cs="仿宋"/>
          <w:sz w:val="24"/>
          <w:szCs w:val="24"/>
        </w:rPr>
        <w:t>4.我方保证在成交后忠实地执行与采购人所签署的合同，并承担合同规定的责任义务；</w:t>
      </w:r>
    </w:p>
    <w:p w14:paraId="050FA7C5">
      <w:pPr>
        <w:ind w:firstLine="480"/>
        <w:rPr>
          <w:rFonts w:ascii="仿宋" w:hAnsi="仿宋" w:eastAsia="仿宋" w:cs="仿宋"/>
          <w:sz w:val="24"/>
          <w:szCs w:val="24"/>
        </w:rPr>
      </w:pPr>
      <w:r>
        <w:rPr>
          <w:rFonts w:hint="eastAsia" w:ascii="仿宋" w:hAnsi="仿宋" w:eastAsia="仿宋" w:cs="仿宋"/>
          <w:sz w:val="24"/>
          <w:szCs w:val="24"/>
        </w:rPr>
        <w:t>5.我方本询比响应文件提供的报价、资格、技术、商务等文件均真实、有效、准确。若有违背，我方愿意承担由此而产生的一切后果；</w:t>
      </w:r>
    </w:p>
    <w:p w14:paraId="44A3E684">
      <w:pPr>
        <w:ind w:firstLine="480"/>
      </w:pPr>
      <w:r>
        <w:rPr>
          <w:rFonts w:hint="eastAsia" w:ascii="仿宋" w:hAnsi="仿宋" w:eastAsia="仿宋" w:cs="仿宋"/>
          <w:sz w:val="24"/>
          <w:szCs w:val="24"/>
        </w:rPr>
        <w:t>6.我方同意提供按照贵方可能要求的与本项目询比有关的一切数据或资料，完全理解贵方对评审资料的保密且不解释任何未成交原因。</w:t>
      </w:r>
    </w:p>
    <w:p w14:paraId="5ECF2766">
      <w:pPr>
        <w:ind w:firstLine="480"/>
        <w:jc w:val="right"/>
        <w:rPr>
          <w:rFonts w:ascii="仿宋" w:hAnsi="仿宋" w:eastAsia="仿宋" w:cs="仿宋"/>
          <w:sz w:val="24"/>
          <w:szCs w:val="24"/>
          <w:u w:val="single"/>
          <w:lang w:bidi="ar"/>
        </w:rPr>
      </w:pPr>
      <w:r>
        <w:rPr>
          <w:rFonts w:hint="eastAsia" w:ascii="仿宋" w:hAnsi="仿宋" w:eastAsia="仿宋" w:cs="仿宋"/>
          <w:sz w:val="24"/>
          <w:szCs w:val="24"/>
          <w:lang w:bidi="ar"/>
        </w:rPr>
        <w:t>询比供应商名称（公章）：</w:t>
      </w:r>
    </w:p>
    <w:p w14:paraId="4C275EE7">
      <w:pPr>
        <w:ind w:firstLine="480"/>
        <w:jc w:val="right"/>
        <w:rPr>
          <w:rFonts w:ascii="仿宋" w:hAnsi="仿宋" w:eastAsia="仿宋" w:cs="仿宋"/>
          <w:sz w:val="24"/>
          <w:szCs w:val="24"/>
          <w:lang w:bidi="ar"/>
        </w:rPr>
      </w:pPr>
      <w:r>
        <w:rPr>
          <w:rFonts w:hint="eastAsia" w:ascii="仿宋" w:hAnsi="仿宋" w:eastAsia="仿宋" w:cs="仿宋"/>
          <w:sz w:val="24"/>
          <w:szCs w:val="24"/>
          <w:lang w:bidi="ar"/>
        </w:rPr>
        <w:t>法定代表人或被授权代表（签字或盖章）：</w:t>
      </w:r>
    </w:p>
    <w:p w14:paraId="1D709E82">
      <w:pPr>
        <w:ind w:firstLine="480"/>
        <w:jc w:val="right"/>
        <w:rPr>
          <w:rFonts w:ascii="仿宋" w:hAnsi="仿宋" w:eastAsia="仿宋" w:cs="仿宋"/>
          <w:sz w:val="24"/>
          <w:szCs w:val="24"/>
          <w:lang w:bidi="ar"/>
        </w:rPr>
        <w:sectPr>
          <w:footerReference r:id="rId13" w:type="default"/>
          <w:pgSz w:w="12240" w:h="15840"/>
          <w:pgMar w:top="57" w:right="1304" w:bottom="57" w:left="1304" w:header="397" w:footer="720" w:gutter="0"/>
          <w:cols w:space="720" w:num="1"/>
          <w:docGrid w:linePitch="285" w:charSpace="0"/>
        </w:sectPr>
      </w:pPr>
      <w:r>
        <w:rPr>
          <w:rFonts w:hint="eastAsia" w:ascii="仿宋" w:hAnsi="仿宋" w:eastAsia="仿宋" w:cs="仿宋"/>
          <w:sz w:val="24"/>
          <w:szCs w:val="24"/>
          <w:lang w:bidi="ar"/>
        </w:rPr>
        <w:t>日期：  年 月  日</w:t>
      </w:r>
    </w:p>
    <w:p w14:paraId="047DABDC">
      <w:pPr>
        <w:ind w:firstLine="0" w:firstLineChars="0"/>
        <w:jc w:val="center"/>
        <w:outlineLvl w:val="3"/>
        <w:rPr>
          <w:rFonts w:ascii="仿宋" w:hAnsi="仿宋" w:eastAsia="仿宋" w:cs="仿宋"/>
          <w:b/>
          <w:bCs/>
          <w:sz w:val="28"/>
          <w:szCs w:val="28"/>
          <w:lang w:bidi="ar"/>
        </w:rPr>
      </w:pPr>
      <w:bookmarkStart w:id="146" w:name="_Toc18681"/>
      <w:bookmarkStart w:id="147" w:name="_Toc7051"/>
      <w:bookmarkStart w:id="148" w:name="_Toc14730"/>
      <w:bookmarkStart w:id="149" w:name="_Toc24867"/>
      <w:bookmarkStart w:id="150" w:name="_Toc3117"/>
      <w:bookmarkStart w:id="151" w:name="_Toc10422"/>
      <w:bookmarkStart w:id="152" w:name="_Toc21916"/>
      <w:r>
        <w:rPr>
          <w:rFonts w:hint="eastAsia" w:ascii="仿宋" w:hAnsi="仿宋" w:eastAsia="仿宋" w:cs="仿宋"/>
          <w:b/>
          <w:bCs/>
          <w:sz w:val="28"/>
          <w:szCs w:val="28"/>
          <w:lang w:bidi="ar"/>
        </w:rPr>
        <w:t>1.2分项报价表</w:t>
      </w:r>
    </w:p>
    <w:p w14:paraId="2B8AD398">
      <w:pPr>
        <w:pStyle w:val="2"/>
        <w:ind w:left="0" w:firstLine="0" w:firstLineChars="0"/>
        <w:rPr>
          <w:color w:val="auto"/>
        </w:rPr>
      </w:pPr>
    </w:p>
    <w:p w14:paraId="69835F20">
      <w:pPr>
        <w:pStyle w:val="2"/>
        <w:ind w:left="0" w:firstLine="2891" w:firstLineChars="900"/>
        <w:rPr>
          <w:color w:val="auto"/>
        </w:rPr>
      </w:pPr>
      <w:r>
        <w:rPr>
          <w:rFonts w:hint="eastAsia" w:ascii="楷体_GB2312" w:hAnsi="楷体_GB2312" w:eastAsia="楷体_GB2312" w:cs="楷体_GB2312"/>
          <w:b/>
          <w:bCs/>
          <w:color w:val="auto"/>
          <w:sz w:val="32"/>
          <w:szCs w:val="32"/>
        </w:rPr>
        <w:t>报价清单（B包供应商使用）</w:t>
      </w:r>
    </w:p>
    <w:tbl>
      <w:tblPr>
        <w:tblStyle w:val="42"/>
        <w:tblpPr w:leftFromText="180" w:rightFromText="180" w:vertAnchor="text" w:horzAnchor="page" w:tblpXSpec="center" w:tblpY="99"/>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93"/>
        <w:gridCol w:w="1108"/>
        <w:gridCol w:w="1091"/>
        <w:gridCol w:w="742"/>
        <w:gridCol w:w="989"/>
        <w:gridCol w:w="1221"/>
        <w:gridCol w:w="1127"/>
        <w:gridCol w:w="1445"/>
      </w:tblGrid>
      <w:tr w14:paraId="33B4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40" w:type="dxa"/>
            <w:vAlign w:val="center"/>
          </w:tcPr>
          <w:p w14:paraId="55E37BF5">
            <w:pPr>
              <w:widowControl/>
              <w:spacing w:line="240" w:lineRule="atLeast"/>
              <w:ind w:firstLine="0" w:firstLineChars="0"/>
              <w:jc w:val="center"/>
              <w:textAlignment w:val="center"/>
              <w:rPr>
                <w:rFonts w:ascii="宋体" w:hAnsi="宋体" w:cs="宋体"/>
                <w:b/>
                <w:sz w:val="24"/>
              </w:rPr>
            </w:pPr>
            <w:r>
              <w:rPr>
                <w:rFonts w:hint="eastAsia" w:ascii="宋体" w:hAnsi="宋体" w:cs="宋体"/>
                <w:b/>
                <w:kern w:val="0"/>
                <w:sz w:val="24"/>
              </w:rPr>
              <w:t>序号</w:t>
            </w:r>
          </w:p>
        </w:tc>
        <w:tc>
          <w:tcPr>
            <w:tcW w:w="1293" w:type="dxa"/>
            <w:vAlign w:val="center"/>
          </w:tcPr>
          <w:p w14:paraId="1317568D">
            <w:pPr>
              <w:widowControl/>
              <w:spacing w:line="240" w:lineRule="atLeast"/>
              <w:ind w:firstLine="0" w:firstLineChars="0"/>
              <w:jc w:val="center"/>
              <w:textAlignment w:val="center"/>
              <w:rPr>
                <w:rFonts w:ascii="宋体" w:hAnsi="宋体" w:cs="宋体"/>
                <w:b/>
                <w:sz w:val="24"/>
              </w:rPr>
            </w:pPr>
            <w:r>
              <w:rPr>
                <w:rFonts w:hint="eastAsia" w:ascii="宋体" w:hAnsi="宋体" w:cs="宋体"/>
                <w:b/>
                <w:kern w:val="0"/>
                <w:sz w:val="24"/>
              </w:rPr>
              <w:t>货物名称</w:t>
            </w:r>
          </w:p>
        </w:tc>
        <w:tc>
          <w:tcPr>
            <w:tcW w:w="1108" w:type="dxa"/>
            <w:vAlign w:val="center"/>
          </w:tcPr>
          <w:p w14:paraId="01600BF6">
            <w:pPr>
              <w:widowControl/>
              <w:spacing w:line="240" w:lineRule="atLeast"/>
              <w:ind w:firstLine="0" w:firstLineChars="0"/>
              <w:jc w:val="center"/>
              <w:textAlignment w:val="center"/>
              <w:rPr>
                <w:rFonts w:ascii="宋体" w:hAnsi="宋体" w:cs="宋体"/>
                <w:b/>
                <w:sz w:val="24"/>
              </w:rPr>
            </w:pPr>
            <w:r>
              <w:rPr>
                <w:rFonts w:hint="eastAsia" w:ascii="宋体" w:hAnsi="宋体" w:cs="宋体"/>
                <w:b/>
                <w:kern w:val="0"/>
                <w:sz w:val="24"/>
              </w:rPr>
              <w:t>规格型号</w:t>
            </w:r>
          </w:p>
        </w:tc>
        <w:tc>
          <w:tcPr>
            <w:tcW w:w="1091" w:type="dxa"/>
            <w:vAlign w:val="center"/>
          </w:tcPr>
          <w:p w14:paraId="5CB77A56">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品牌厂家</w:t>
            </w:r>
          </w:p>
        </w:tc>
        <w:tc>
          <w:tcPr>
            <w:tcW w:w="742" w:type="dxa"/>
            <w:vAlign w:val="center"/>
          </w:tcPr>
          <w:p w14:paraId="05DD2843">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计量</w:t>
            </w:r>
            <w:r>
              <w:rPr>
                <w:rFonts w:hint="eastAsia" w:ascii="宋体" w:hAnsi="宋体" w:cs="宋体"/>
                <w:b/>
                <w:kern w:val="0"/>
                <w:sz w:val="24"/>
              </w:rPr>
              <w:br w:type="textWrapping"/>
            </w:r>
            <w:r>
              <w:rPr>
                <w:rFonts w:hint="eastAsia" w:ascii="宋体" w:hAnsi="宋体" w:cs="宋体"/>
                <w:b/>
                <w:kern w:val="0"/>
                <w:sz w:val="24"/>
              </w:rPr>
              <w:t>单位</w:t>
            </w:r>
          </w:p>
        </w:tc>
        <w:tc>
          <w:tcPr>
            <w:tcW w:w="989" w:type="dxa"/>
            <w:vAlign w:val="center"/>
          </w:tcPr>
          <w:p w14:paraId="105E4A51">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数量</w:t>
            </w:r>
          </w:p>
        </w:tc>
        <w:tc>
          <w:tcPr>
            <w:tcW w:w="1221" w:type="dxa"/>
            <w:vAlign w:val="center"/>
          </w:tcPr>
          <w:p w14:paraId="0C55ACD7">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预算单价</w:t>
            </w:r>
            <w:r>
              <w:rPr>
                <w:rFonts w:hint="eastAsia" w:ascii="宋体" w:hAnsi="宋体" w:cs="宋体"/>
                <w:b/>
                <w:kern w:val="0"/>
                <w:sz w:val="24"/>
              </w:rPr>
              <w:br w:type="textWrapping"/>
            </w:r>
            <w:r>
              <w:rPr>
                <w:rFonts w:hint="eastAsia" w:ascii="宋体" w:hAnsi="宋体" w:cs="宋体"/>
                <w:b/>
                <w:kern w:val="0"/>
                <w:sz w:val="24"/>
              </w:rPr>
              <w:t>（元）</w:t>
            </w:r>
          </w:p>
        </w:tc>
        <w:tc>
          <w:tcPr>
            <w:tcW w:w="1127" w:type="dxa"/>
            <w:vAlign w:val="center"/>
          </w:tcPr>
          <w:p w14:paraId="4DD47C69">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预算合计（元）</w:t>
            </w:r>
          </w:p>
        </w:tc>
        <w:tc>
          <w:tcPr>
            <w:tcW w:w="1445" w:type="dxa"/>
            <w:vAlign w:val="center"/>
          </w:tcPr>
          <w:p w14:paraId="6BB5ACD9">
            <w:pPr>
              <w:widowControl/>
              <w:spacing w:line="300" w:lineRule="exact"/>
              <w:ind w:firstLine="0" w:firstLineChars="0"/>
              <w:jc w:val="center"/>
              <w:textAlignment w:val="center"/>
              <w:rPr>
                <w:rFonts w:ascii="宋体" w:hAnsi="宋体" w:cs="宋体"/>
                <w:b/>
                <w:sz w:val="24"/>
              </w:rPr>
            </w:pPr>
            <w:r>
              <w:rPr>
                <w:rFonts w:hint="eastAsia" w:ascii="宋体" w:hAnsi="宋体" w:cs="宋体"/>
                <w:b/>
                <w:kern w:val="0"/>
                <w:sz w:val="24"/>
              </w:rPr>
              <w:t>备注</w:t>
            </w:r>
          </w:p>
        </w:tc>
      </w:tr>
      <w:tr w14:paraId="7C6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640" w:type="dxa"/>
            <w:vAlign w:val="center"/>
          </w:tcPr>
          <w:p w14:paraId="3D2796CA">
            <w:pPr>
              <w:widowControl/>
              <w:ind w:firstLine="0" w:firstLineChars="0"/>
              <w:jc w:val="center"/>
              <w:textAlignment w:val="center"/>
              <w:rPr>
                <w:rFonts w:ascii="宋体" w:hAnsi="宋体" w:cs="宋体"/>
                <w:sz w:val="24"/>
              </w:rPr>
            </w:pPr>
            <w:r>
              <w:rPr>
                <w:rFonts w:hint="eastAsia" w:ascii="宋体" w:hAnsi="宋体" w:cs="宋体"/>
                <w:sz w:val="24"/>
              </w:rPr>
              <w:t>1</w:t>
            </w:r>
          </w:p>
        </w:tc>
        <w:tc>
          <w:tcPr>
            <w:tcW w:w="1293" w:type="dxa"/>
            <w:vAlign w:val="center"/>
          </w:tcPr>
          <w:p w14:paraId="32D0A324">
            <w:pPr>
              <w:pStyle w:val="28"/>
              <w:spacing w:line="5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扫地机器人</w:t>
            </w:r>
          </w:p>
        </w:tc>
        <w:tc>
          <w:tcPr>
            <w:tcW w:w="1108" w:type="dxa"/>
            <w:vAlign w:val="center"/>
          </w:tcPr>
          <w:p w14:paraId="090F7B2A">
            <w:pPr>
              <w:widowControl/>
              <w:ind w:firstLine="0" w:firstLineChars="0"/>
              <w:textAlignment w:val="center"/>
              <w:rPr>
                <w:rFonts w:ascii="宋体" w:hAnsi="宋体" w:cs="宋体"/>
                <w:sz w:val="24"/>
              </w:rPr>
            </w:pPr>
            <w:r>
              <w:rPr>
                <w:rFonts w:hint="eastAsia" w:ascii="仿宋_GB2312" w:hAnsi="仿宋_GB2312" w:eastAsia="仿宋_GB2312" w:cs="仿宋_GB2312"/>
                <w:sz w:val="24"/>
              </w:rPr>
              <w:t>X9（水箱版）</w:t>
            </w:r>
          </w:p>
        </w:tc>
        <w:tc>
          <w:tcPr>
            <w:tcW w:w="1091" w:type="dxa"/>
            <w:vAlign w:val="center"/>
          </w:tcPr>
          <w:p w14:paraId="31F4C0FE">
            <w:pPr>
              <w:widowControl/>
              <w:ind w:firstLine="0" w:firstLineChars="0"/>
              <w:jc w:val="center"/>
              <w:textAlignment w:val="center"/>
              <w:rPr>
                <w:rFonts w:ascii="宋体" w:hAnsi="宋体" w:cs="宋体"/>
                <w:sz w:val="24"/>
              </w:rPr>
            </w:pPr>
            <w:r>
              <w:rPr>
                <w:rFonts w:hint="eastAsia" w:ascii="宋体" w:hAnsi="宋体" w:cs="宋体"/>
                <w:sz w:val="24"/>
              </w:rPr>
              <w:t>科沃斯</w:t>
            </w:r>
          </w:p>
        </w:tc>
        <w:tc>
          <w:tcPr>
            <w:tcW w:w="742" w:type="dxa"/>
            <w:vAlign w:val="center"/>
          </w:tcPr>
          <w:p w14:paraId="159C95BC">
            <w:pPr>
              <w:widowControl/>
              <w:ind w:firstLine="0" w:firstLineChars="0"/>
              <w:jc w:val="center"/>
              <w:textAlignment w:val="center"/>
              <w:rPr>
                <w:rFonts w:ascii="宋体" w:hAnsi="宋体" w:cs="宋体"/>
                <w:sz w:val="24"/>
              </w:rPr>
            </w:pPr>
            <w:r>
              <w:rPr>
                <w:rFonts w:hint="eastAsia" w:ascii="宋体" w:hAnsi="宋体" w:cs="宋体"/>
                <w:sz w:val="24"/>
              </w:rPr>
              <w:t>个</w:t>
            </w:r>
          </w:p>
        </w:tc>
        <w:tc>
          <w:tcPr>
            <w:tcW w:w="989" w:type="dxa"/>
            <w:vAlign w:val="center"/>
          </w:tcPr>
          <w:p w14:paraId="33290F62">
            <w:pPr>
              <w:ind w:firstLine="0" w:firstLineChars="0"/>
              <w:jc w:val="center"/>
              <w:rPr>
                <w:rFonts w:ascii="宋体" w:hAnsi="宋体" w:cs="宋体"/>
                <w:sz w:val="24"/>
              </w:rPr>
            </w:pPr>
            <w:r>
              <w:rPr>
                <w:rFonts w:hint="eastAsia" w:ascii="宋体" w:hAnsi="宋体" w:cs="宋体"/>
                <w:sz w:val="24"/>
              </w:rPr>
              <w:t>5</w:t>
            </w:r>
          </w:p>
        </w:tc>
        <w:tc>
          <w:tcPr>
            <w:tcW w:w="1221" w:type="dxa"/>
            <w:vAlign w:val="center"/>
          </w:tcPr>
          <w:p w14:paraId="49400462">
            <w:pPr>
              <w:spacing w:line="560" w:lineRule="exact"/>
              <w:ind w:firstLine="0" w:firstLineChars="0"/>
              <w:jc w:val="center"/>
              <w:rPr>
                <w:rFonts w:ascii="宋体" w:hAnsi="宋体" w:cs="宋体"/>
                <w:sz w:val="24"/>
              </w:rPr>
            </w:pPr>
          </w:p>
        </w:tc>
        <w:tc>
          <w:tcPr>
            <w:tcW w:w="1127" w:type="dxa"/>
            <w:vAlign w:val="center"/>
          </w:tcPr>
          <w:p w14:paraId="37F4FF04">
            <w:pPr>
              <w:spacing w:line="560" w:lineRule="exact"/>
              <w:ind w:firstLine="0" w:firstLineChars="0"/>
              <w:jc w:val="center"/>
              <w:rPr>
                <w:rFonts w:ascii="宋体" w:hAnsi="宋体" w:cs="宋体"/>
                <w:sz w:val="24"/>
              </w:rPr>
            </w:pPr>
          </w:p>
        </w:tc>
        <w:tc>
          <w:tcPr>
            <w:tcW w:w="1445" w:type="dxa"/>
            <w:vAlign w:val="center"/>
          </w:tcPr>
          <w:p w14:paraId="4CE80702">
            <w:pPr>
              <w:widowControl/>
              <w:ind w:firstLine="480"/>
              <w:jc w:val="center"/>
              <w:textAlignment w:val="center"/>
              <w:rPr>
                <w:rFonts w:ascii="宋体" w:hAnsi="宋体" w:cs="宋体"/>
                <w:sz w:val="24"/>
              </w:rPr>
            </w:pPr>
          </w:p>
        </w:tc>
      </w:tr>
      <w:tr w14:paraId="1E43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640" w:type="dxa"/>
            <w:vAlign w:val="center"/>
          </w:tcPr>
          <w:p w14:paraId="495C0B11">
            <w:pPr>
              <w:widowControl/>
              <w:ind w:firstLine="0" w:firstLineChars="0"/>
              <w:jc w:val="center"/>
              <w:textAlignment w:val="center"/>
              <w:rPr>
                <w:rFonts w:ascii="宋体" w:hAnsi="宋体" w:cs="宋体"/>
                <w:sz w:val="24"/>
              </w:rPr>
            </w:pPr>
            <w:r>
              <w:rPr>
                <w:rFonts w:hint="eastAsia" w:ascii="宋体" w:hAnsi="宋体" w:cs="宋体"/>
                <w:sz w:val="24"/>
              </w:rPr>
              <w:t>2</w:t>
            </w:r>
          </w:p>
        </w:tc>
        <w:tc>
          <w:tcPr>
            <w:tcW w:w="1293" w:type="dxa"/>
            <w:vAlign w:val="center"/>
          </w:tcPr>
          <w:p w14:paraId="6B2159C6">
            <w:pPr>
              <w:pStyle w:val="28"/>
              <w:spacing w:line="560" w:lineRule="exact"/>
              <w:ind w:firstLine="0" w:firstLineChars="0"/>
              <w:jc w:val="center"/>
              <w:rPr>
                <w:rFonts w:ascii="仿宋_GB2312" w:hAnsi="仿宋_GB2312" w:eastAsia="仿宋_GB2312" w:cs="仿宋_GB2312"/>
                <w:sz w:val="24"/>
              </w:rPr>
            </w:pPr>
            <w:r>
              <w:rPr>
                <w:rFonts w:hint="eastAsia" w:ascii="仿宋_GB2312" w:hAnsi="仿宋_GB2312" w:eastAsia="仿宋_GB2312" w:cs="仿宋_GB2312"/>
                <w:sz w:val="24"/>
              </w:rPr>
              <w:t>空调</w:t>
            </w:r>
          </w:p>
        </w:tc>
        <w:tc>
          <w:tcPr>
            <w:tcW w:w="1108" w:type="dxa"/>
            <w:vAlign w:val="center"/>
          </w:tcPr>
          <w:p w14:paraId="797DEF85">
            <w:pPr>
              <w:widowControl/>
              <w:ind w:firstLine="0" w:firstLineChars="0"/>
              <w:textAlignment w:val="center"/>
              <w:rPr>
                <w:rFonts w:ascii="宋体" w:hAnsi="宋体" w:cs="宋体"/>
                <w:sz w:val="24"/>
              </w:rPr>
            </w:pPr>
            <w:r>
              <w:rPr>
                <w:rFonts w:hint="eastAsia" w:ascii="仿宋_GB2312" w:hAnsi="仿宋_GB2312" w:eastAsia="仿宋_GB2312" w:cs="仿宋_GB2312"/>
                <w:sz w:val="24"/>
              </w:rPr>
              <w:t>云佳1.5匹</w:t>
            </w:r>
          </w:p>
        </w:tc>
        <w:tc>
          <w:tcPr>
            <w:tcW w:w="1091" w:type="dxa"/>
            <w:vAlign w:val="center"/>
          </w:tcPr>
          <w:p w14:paraId="6F5AC56A">
            <w:pPr>
              <w:widowControl/>
              <w:ind w:firstLine="0" w:firstLineChars="0"/>
              <w:jc w:val="center"/>
              <w:textAlignment w:val="center"/>
              <w:rPr>
                <w:rFonts w:ascii="宋体" w:hAnsi="宋体" w:cs="宋体"/>
                <w:sz w:val="24"/>
              </w:rPr>
            </w:pPr>
            <w:r>
              <w:rPr>
                <w:rFonts w:hint="eastAsia" w:ascii="宋体" w:hAnsi="宋体" w:cs="宋体"/>
                <w:sz w:val="24"/>
              </w:rPr>
              <w:t>格力</w:t>
            </w:r>
          </w:p>
        </w:tc>
        <w:tc>
          <w:tcPr>
            <w:tcW w:w="742" w:type="dxa"/>
            <w:vAlign w:val="center"/>
          </w:tcPr>
          <w:p w14:paraId="08545658">
            <w:pPr>
              <w:widowControl/>
              <w:ind w:firstLine="0" w:firstLineChars="0"/>
              <w:jc w:val="center"/>
              <w:textAlignment w:val="center"/>
              <w:rPr>
                <w:rFonts w:ascii="宋体" w:hAnsi="宋体" w:cs="宋体"/>
                <w:sz w:val="24"/>
              </w:rPr>
            </w:pPr>
            <w:r>
              <w:rPr>
                <w:rFonts w:hint="eastAsia" w:ascii="宋体" w:hAnsi="宋体" w:cs="宋体"/>
                <w:sz w:val="24"/>
              </w:rPr>
              <w:t>台</w:t>
            </w:r>
          </w:p>
        </w:tc>
        <w:tc>
          <w:tcPr>
            <w:tcW w:w="989" w:type="dxa"/>
            <w:vAlign w:val="center"/>
          </w:tcPr>
          <w:p w14:paraId="26811190">
            <w:pPr>
              <w:ind w:firstLine="0" w:firstLineChars="0"/>
              <w:jc w:val="center"/>
              <w:rPr>
                <w:rFonts w:ascii="宋体" w:hAnsi="宋体" w:cs="宋体"/>
                <w:sz w:val="24"/>
              </w:rPr>
            </w:pPr>
            <w:r>
              <w:rPr>
                <w:rFonts w:hint="eastAsia" w:ascii="宋体" w:hAnsi="宋体" w:cs="宋体"/>
                <w:sz w:val="24"/>
              </w:rPr>
              <w:t>7</w:t>
            </w:r>
          </w:p>
        </w:tc>
        <w:tc>
          <w:tcPr>
            <w:tcW w:w="1221" w:type="dxa"/>
            <w:vAlign w:val="center"/>
          </w:tcPr>
          <w:p w14:paraId="408B7F81">
            <w:pPr>
              <w:spacing w:line="560" w:lineRule="exact"/>
              <w:ind w:firstLine="0" w:firstLineChars="0"/>
              <w:jc w:val="center"/>
              <w:rPr>
                <w:rFonts w:ascii="宋体" w:hAnsi="宋体" w:cs="宋体"/>
                <w:sz w:val="24"/>
              </w:rPr>
            </w:pPr>
          </w:p>
        </w:tc>
        <w:tc>
          <w:tcPr>
            <w:tcW w:w="1127" w:type="dxa"/>
            <w:vAlign w:val="center"/>
          </w:tcPr>
          <w:p w14:paraId="42A74890">
            <w:pPr>
              <w:spacing w:line="560" w:lineRule="exact"/>
              <w:ind w:firstLine="0" w:firstLineChars="0"/>
              <w:jc w:val="center"/>
              <w:rPr>
                <w:rFonts w:ascii="宋体" w:hAnsi="宋体" w:cs="宋体"/>
                <w:sz w:val="24"/>
              </w:rPr>
            </w:pPr>
          </w:p>
        </w:tc>
        <w:tc>
          <w:tcPr>
            <w:tcW w:w="1445" w:type="dxa"/>
            <w:vAlign w:val="center"/>
          </w:tcPr>
          <w:p w14:paraId="269787D8">
            <w:pPr>
              <w:widowControl/>
              <w:ind w:firstLine="480"/>
              <w:jc w:val="center"/>
              <w:textAlignment w:val="center"/>
              <w:rPr>
                <w:rFonts w:ascii="宋体" w:hAnsi="宋体" w:cs="宋体"/>
                <w:sz w:val="24"/>
              </w:rPr>
            </w:pPr>
          </w:p>
        </w:tc>
      </w:tr>
      <w:tr w14:paraId="328F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640" w:type="dxa"/>
            <w:vAlign w:val="center"/>
          </w:tcPr>
          <w:p w14:paraId="7D2BC4B3">
            <w:pPr>
              <w:widowControl/>
              <w:ind w:firstLine="0" w:firstLineChars="0"/>
              <w:jc w:val="center"/>
              <w:textAlignment w:val="center"/>
              <w:rPr>
                <w:rFonts w:ascii="宋体" w:hAnsi="宋体" w:cs="宋体"/>
                <w:sz w:val="24"/>
              </w:rPr>
            </w:pPr>
            <w:r>
              <w:rPr>
                <w:rFonts w:hint="eastAsia" w:ascii="宋体" w:hAnsi="宋体" w:cs="宋体"/>
                <w:sz w:val="24"/>
              </w:rPr>
              <w:t>总计</w:t>
            </w:r>
          </w:p>
        </w:tc>
        <w:tc>
          <w:tcPr>
            <w:tcW w:w="9016" w:type="dxa"/>
            <w:gridSpan w:val="8"/>
            <w:vAlign w:val="center"/>
          </w:tcPr>
          <w:p w14:paraId="709F83C7">
            <w:pPr>
              <w:widowControl/>
              <w:ind w:firstLine="480"/>
              <w:jc w:val="center"/>
              <w:textAlignment w:val="center"/>
              <w:rPr>
                <w:rFonts w:ascii="宋体" w:hAnsi="宋体" w:cs="宋体"/>
                <w:sz w:val="24"/>
              </w:rPr>
            </w:pPr>
          </w:p>
        </w:tc>
      </w:tr>
    </w:tbl>
    <w:p w14:paraId="65D033B5">
      <w:pPr>
        <w:spacing w:line="240" w:lineRule="auto"/>
        <w:ind w:firstLine="482"/>
        <w:jc w:val="right"/>
        <w:rPr>
          <w:rFonts w:ascii="仿宋" w:hAnsi="仿宋" w:eastAsia="仿宋" w:cs="仿宋"/>
          <w:b/>
          <w:sz w:val="24"/>
          <w:szCs w:val="24"/>
          <w:em w:val="dot"/>
        </w:rPr>
      </w:pPr>
      <w:r>
        <w:rPr>
          <w:rFonts w:hint="eastAsia" w:ascii="仿宋" w:hAnsi="仿宋" w:eastAsia="仿宋" w:cs="仿宋"/>
          <w:b/>
          <w:sz w:val="24"/>
          <w:szCs w:val="24"/>
          <w:em w:val="dot"/>
        </w:rPr>
        <w:t xml:space="preserve">   </w:t>
      </w:r>
    </w:p>
    <w:p w14:paraId="05F5DFC8">
      <w:pPr>
        <w:widowControl/>
        <w:spacing w:line="240" w:lineRule="auto"/>
        <w:ind w:firstLine="0" w:firstLineChars="0"/>
        <w:rPr>
          <w:rFonts w:ascii="仿宋" w:hAnsi="仿宋" w:eastAsia="仿宋" w:cs="仿宋"/>
          <w:kern w:val="0"/>
          <w:sz w:val="24"/>
          <w:szCs w:val="24"/>
          <w:u w:val="single"/>
          <w:lang w:bidi="ar"/>
        </w:rPr>
      </w:pPr>
      <w:r>
        <w:rPr>
          <w:rFonts w:hint="eastAsia" w:ascii="仿宋" w:hAnsi="仿宋" w:eastAsia="仿宋" w:cs="仿宋"/>
          <w:kern w:val="0"/>
          <w:sz w:val="24"/>
          <w:szCs w:val="24"/>
          <w:u w:val="single"/>
          <w:lang w:bidi="ar"/>
        </w:rPr>
        <w:t>注：</w:t>
      </w:r>
    </w:p>
    <w:p w14:paraId="4496AAD3">
      <w:pPr>
        <w:widowControl/>
        <w:spacing w:line="240" w:lineRule="auto"/>
        <w:ind w:firstLine="480"/>
        <w:rPr>
          <w:rFonts w:ascii="仿宋" w:hAnsi="仿宋" w:eastAsia="仿宋" w:cs="仿宋"/>
          <w:bCs/>
          <w:kern w:val="0"/>
          <w:sz w:val="24"/>
          <w:szCs w:val="24"/>
          <w:u w:val="single"/>
          <w:lang w:bidi="ar"/>
        </w:rPr>
      </w:pPr>
      <w:r>
        <w:rPr>
          <w:rFonts w:hint="eastAsia" w:ascii="仿宋" w:hAnsi="仿宋" w:eastAsia="仿宋" w:cs="仿宋"/>
          <w:kern w:val="0"/>
          <w:sz w:val="24"/>
          <w:szCs w:val="24"/>
          <w:u w:val="single"/>
          <w:lang w:bidi="ar"/>
        </w:rPr>
        <w:t>1.本表报价总价合计应与“询比函”中的询比报价一致，</w:t>
      </w:r>
      <w:r>
        <w:rPr>
          <w:rFonts w:hint="eastAsia" w:ascii="仿宋" w:hAnsi="仿宋" w:eastAsia="仿宋" w:cs="仿宋"/>
          <w:bCs/>
          <w:kern w:val="0"/>
          <w:sz w:val="24"/>
          <w:szCs w:val="24"/>
          <w:u w:val="single"/>
          <w:lang w:bidi="ar"/>
        </w:rPr>
        <w:t>若与询比函不一致的以分项报价表为准。</w:t>
      </w:r>
    </w:p>
    <w:p w14:paraId="63243475">
      <w:pPr>
        <w:widowControl/>
        <w:spacing w:line="240" w:lineRule="auto"/>
        <w:ind w:firstLine="480"/>
        <w:rPr>
          <w:rFonts w:ascii="仿宋" w:hAnsi="仿宋" w:eastAsia="仿宋" w:cs="仿宋"/>
          <w:bCs/>
          <w:kern w:val="0"/>
          <w:sz w:val="24"/>
          <w:szCs w:val="24"/>
          <w:u w:val="single"/>
          <w:lang w:bidi="ar"/>
        </w:rPr>
      </w:pPr>
      <w:r>
        <w:rPr>
          <w:rFonts w:hint="eastAsia" w:ascii="仿宋" w:hAnsi="仿宋" w:eastAsia="仿宋" w:cs="仿宋"/>
          <w:bCs/>
          <w:kern w:val="0"/>
          <w:sz w:val="24"/>
          <w:szCs w:val="24"/>
          <w:u w:val="single"/>
          <w:lang w:bidi="ar"/>
        </w:rPr>
        <w:t>2.供应商需据实填写本表，且所填总价（含税）不能超过询比文件要求的最高采购限制价（含税）。</w:t>
      </w:r>
    </w:p>
    <w:p w14:paraId="7EFD5FE4">
      <w:pPr>
        <w:spacing w:line="240" w:lineRule="auto"/>
        <w:ind w:firstLine="482"/>
        <w:jc w:val="right"/>
        <w:rPr>
          <w:rFonts w:ascii="仿宋" w:hAnsi="仿宋" w:eastAsia="仿宋" w:cs="仿宋"/>
          <w:sz w:val="24"/>
          <w:szCs w:val="24"/>
        </w:rPr>
      </w:pPr>
      <w:r>
        <w:rPr>
          <w:rFonts w:hint="eastAsia" w:ascii="仿宋" w:hAnsi="仿宋" w:eastAsia="仿宋" w:cs="仿宋"/>
          <w:b/>
          <w:sz w:val="24"/>
          <w:szCs w:val="24"/>
          <w:em w:val="dot"/>
        </w:rPr>
        <w:t xml:space="preserve">    </w:t>
      </w:r>
      <w:r>
        <w:rPr>
          <w:rFonts w:hint="eastAsia" w:ascii="仿宋" w:hAnsi="仿宋" w:eastAsia="仿宋" w:cs="仿宋"/>
          <w:bCs/>
          <w:sz w:val="24"/>
          <w:szCs w:val="24"/>
          <w:em w:val="dot"/>
        </w:rPr>
        <w:t>询比</w:t>
      </w:r>
      <w:r>
        <w:rPr>
          <w:rFonts w:hint="eastAsia" w:ascii="仿宋" w:hAnsi="仿宋" w:eastAsia="仿宋" w:cs="仿宋"/>
          <w:sz w:val="24"/>
          <w:szCs w:val="24"/>
        </w:rPr>
        <w:t>供应商名称（公章）：</w:t>
      </w:r>
    </w:p>
    <w:p w14:paraId="5954A38A">
      <w:pPr>
        <w:spacing w:line="240" w:lineRule="auto"/>
        <w:ind w:firstLine="3840" w:firstLineChars="1600"/>
        <w:jc w:val="right"/>
        <w:rPr>
          <w:rFonts w:ascii="仿宋" w:hAnsi="仿宋" w:eastAsia="仿宋" w:cs="仿宋"/>
          <w:b/>
          <w:sz w:val="24"/>
          <w:szCs w:val="24"/>
          <w:em w:val="dot"/>
          <w:lang w:val="en-GB"/>
        </w:rPr>
      </w:pPr>
      <w:r>
        <w:rPr>
          <w:rFonts w:hint="eastAsia" w:ascii="仿宋" w:hAnsi="仿宋" w:eastAsia="仿宋" w:cs="仿宋"/>
          <w:sz w:val="24"/>
          <w:szCs w:val="24"/>
          <w:lang w:val="en-GB"/>
        </w:rPr>
        <w:t xml:space="preserve">供应商法定代表人或其授权代表签字：   </w:t>
      </w:r>
    </w:p>
    <w:p w14:paraId="1F12CCC3">
      <w:pPr>
        <w:spacing w:line="240" w:lineRule="auto"/>
        <w:ind w:firstLine="480"/>
        <w:jc w:val="right"/>
        <w:rPr>
          <w:rFonts w:ascii="仿宋" w:hAnsi="仿宋" w:eastAsia="仿宋" w:cs="仿宋"/>
          <w:sz w:val="24"/>
          <w:szCs w:val="24"/>
        </w:rPr>
      </w:pPr>
      <w:r>
        <w:rPr>
          <w:rFonts w:hint="eastAsia" w:ascii="仿宋" w:hAnsi="仿宋" w:eastAsia="仿宋" w:cs="仿宋"/>
          <w:sz w:val="24"/>
          <w:szCs w:val="24"/>
          <w:lang w:val="en-GB"/>
        </w:rPr>
        <w:t xml:space="preserve">                                     日</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期：    年 </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月  </w:t>
      </w:r>
      <w:r>
        <w:rPr>
          <w:rFonts w:hint="eastAsia" w:ascii="仿宋" w:hAnsi="仿宋" w:eastAsia="仿宋" w:cs="仿宋"/>
          <w:sz w:val="24"/>
          <w:szCs w:val="24"/>
        </w:rPr>
        <w:t>日</w:t>
      </w:r>
    </w:p>
    <w:p w14:paraId="2F461056">
      <w:pPr>
        <w:widowControl/>
        <w:spacing w:line="240" w:lineRule="auto"/>
        <w:ind w:firstLine="0" w:firstLineChars="0"/>
        <w:rPr>
          <w:sz w:val="24"/>
        </w:rPr>
      </w:pPr>
      <w:r>
        <w:br w:type="page"/>
      </w:r>
    </w:p>
    <w:p w14:paraId="7DD0C1D4">
      <w:pPr>
        <w:spacing w:line="240" w:lineRule="auto"/>
        <w:ind w:firstLine="480"/>
        <w:jc w:val="right"/>
        <w:rPr>
          <w:rFonts w:ascii="仿宋" w:hAnsi="仿宋" w:eastAsia="仿宋" w:cs="仿宋"/>
          <w:sz w:val="24"/>
          <w:szCs w:val="24"/>
        </w:rPr>
        <w:sectPr>
          <w:pgSz w:w="12240" w:h="15840"/>
          <w:pgMar w:top="1440" w:right="1304" w:bottom="1440" w:left="1304" w:header="720" w:footer="720" w:gutter="0"/>
          <w:cols w:space="720" w:num="1"/>
          <w:docGrid w:linePitch="285" w:charSpace="0"/>
        </w:sectPr>
      </w:pPr>
    </w:p>
    <w:bookmarkEnd w:id="146"/>
    <w:bookmarkEnd w:id="147"/>
    <w:p w14:paraId="1F80D1B4">
      <w:pPr>
        <w:ind w:firstLine="0" w:firstLineChars="0"/>
        <w:jc w:val="center"/>
        <w:outlineLvl w:val="1"/>
        <w:rPr>
          <w:rFonts w:ascii="仿宋" w:hAnsi="仿宋" w:eastAsia="仿宋" w:cs="仿宋"/>
          <w:b/>
          <w:bCs/>
          <w:sz w:val="24"/>
          <w:szCs w:val="24"/>
        </w:rPr>
      </w:pPr>
      <w:r>
        <w:rPr>
          <w:rFonts w:hint="eastAsia" w:ascii="仿宋" w:hAnsi="仿宋" w:eastAsia="仿宋" w:cs="仿宋"/>
          <w:b/>
          <w:bCs/>
          <w:sz w:val="24"/>
          <w:szCs w:val="24"/>
        </w:rPr>
        <w:t>二、资格文件</w:t>
      </w:r>
      <w:bookmarkEnd w:id="148"/>
      <w:bookmarkEnd w:id="149"/>
      <w:bookmarkEnd w:id="150"/>
      <w:bookmarkEnd w:id="151"/>
      <w:bookmarkEnd w:id="152"/>
    </w:p>
    <w:tbl>
      <w:tblPr>
        <w:tblStyle w:val="42"/>
        <w:tblpPr w:leftFromText="180" w:rightFromText="180" w:vertAnchor="text" w:horzAnchor="page" w:tblpX="1718" w:tblpY="5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668"/>
        <w:gridCol w:w="1154"/>
        <w:gridCol w:w="1198"/>
        <w:gridCol w:w="354"/>
        <w:gridCol w:w="2203"/>
      </w:tblGrid>
      <w:tr w14:paraId="4142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42" w:type="dxa"/>
            <w:tcBorders>
              <w:top w:val="single" w:color="auto" w:sz="4" w:space="0"/>
              <w:left w:val="single" w:color="auto" w:sz="4" w:space="0"/>
              <w:bottom w:val="single" w:color="auto" w:sz="4" w:space="0"/>
              <w:right w:val="single" w:color="auto" w:sz="4" w:space="0"/>
            </w:tcBorders>
            <w:vAlign w:val="center"/>
          </w:tcPr>
          <w:p w14:paraId="2BF9BB70">
            <w:pPr>
              <w:ind w:firstLine="0" w:firstLineChars="0"/>
              <w:jc w:val="center"/>
              <w:rPr>
                <w:rFonts w:ascii="仿宋" w:hAnsi="仿宋" w:eastAsia="仿宋" w:cs="仿宋"/>
                <w:kern w:val="0"/>
                <w:sz w:val="24"/>
                <w:szCs w:val="24"/>
              </w:rPr>
            </w:pPr>
            <w:bookmarkStart w:id="153" w:name="_Toc930"/>
            <w:r>
              <w:rPr>
                <w:rFonts w:hint="eastAsia" w:ascii="仿宋" w:hAnsi="仿宋" w:eastAsia="仿宋" w:cs="仿宋"/>
                <w:kern w:val="0"/>
                <w:sz w:val="24"/>
                <w:szCs w:val="24"/>
                <w:lang w:bidi="ar"/>
              </w:rPr>
              <w:t>供应商名称</w:t>
            </w:r>
          </w:p>
        </w:tc>
        <w:tc>
          <w:tcPr>
            <w:tcW w:w="6577" w:type="dxa"/>
            <w:gridSpan w:val="5"/>
            <w:tcBorders>
              <w:top w:val="single" w:color="auto" w:sz="4" w:space="0"/>
              <w:left w:val="single" w:color="auto" w:sz="4" w:space="0"/>
              <w:bottom w:val="single" w:color="auto" w:sz="4" w:space="0"/>
              <w:right w:val="single" w:color="auto" w:sz="4" w:space="0"/>
            </w:tcBorders>
            <w:vAlign w:val="center"/>
          </w:tcPr>
          <w:p w14:paraId="26987162">
            <w:pPr>
              <w:ind w:firstLine="0" w:firstLineChars="0"/>
              <w:rPr>
                <w:rFonts w:ascii="仿宋" w:hAnsi="仿宋" w:eastAsia="仿宋" w:cs="仿宋"/>
                <w:kern w:val="0"/>
                <w:sz w:val="24"/>
                <w:szCs w:val="24"/>
              </w:rPr>
            </w:pPr>
          </w:p>
        </w:tc>
      </w:tr>
      <w:tr w14:paraId="5453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842" w:type="dxa"/>
            <w:tcBorders>
              <w:top w:val="single" w:color="auto" w:sz="4" w:space="0"/>
              <w:left w:val="single" w:color="auto" w:sz="4" w:space="0"/>
              <w:bottom w:val="single" w:color="auto" w:sz="4" w:space="0"/>
              <w:right w:val="single" w:color="auto" w:sz="4" w:space="0"/>
            </w:tcBorders>
            <w:vAlign w:val="center"/>
          </w:tcPr>
          <w:p w14:paraId="31C907C7">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注册地址</w:t>
            </w:r>
          </w:p>
        </w:tc>
        <w:tc>
          <w:tcPr>
            <w:tcW w:w="2822" w:type="dxa"/>
            <w:gridSpan w:val="2"/>
            <w:tcBorders>
              <w:top w:val="single" w:color="auto" w:sz="4" w:space="0"/>
              <w:left w:val="single" w:color="auto" w:sz="4" w:space="0"/>
              <w:bottom w:val="single" w:color="auto" w:sz="4" w:space="0"/>
              <w:right w:val="single" w:color="auto" w:sz="4" w:space="0"/>
            </w:tcBorders>
            <w:vAlign w:val="center"/>
          </w:tcPr>
          <w:p w14:paraId="083C2441">
            <w:pPr>
              <w:ind w:firstLine="0" w:firstLineChars="0"/>
              <w:jc w:val="center"/>
              <w:rPr>
                <w:rFonts w:ascii="仿宋" w:hAnsi="仿宋" w:eastAsia="仿宋" w:cs="仿宋"/>
                <w:kern w:val="0"/>
                <w:sz w:val="24"/>
                <w:szCs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0647859E">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邮政编码</w:t>
            </w:r>
          </w:p>
        </w:tc>
        <w:tc>
          <w:tcPr>
            <w:tcW w:w="2557" w:type="dxa"/>
            <w:gridSpan w:val="2"/>
            <w:tcBorders>
              <w:top w:val="single" w:color="auto" w:sz="4" w:space="0"/>
              <w:left w:val="single" w:color="auto" w:sz="4" w:space="0"/>
              <w:bottom w:val="single" w:color="auto" w:sz="4" w:space="0"/>
              <w:right w:val="single" w:color="auto" w:sz="4" w:space="0"/>
            </w:tcBorders>
            <w:vAlign w:val="center"/>
          </w:tcPr>
          <w:p w14:paraId="00DDB420">
            <w:pPr>
              <w:ind w:firstLine="0" w:firstLineChars="0"/>
              <w:jc w:val="center"/>
              <w:rPr>
                <w:rFonts w:ascii="仿宋" w:hAnsi="仿宋" w:eastAsia="仿宋" w:cs="仿宋"/>
                <w:kern w:val="0"/>
                <w:sz w:val="24"/>
                <w:szCs w:val="24"/>
              </w:rPr>
            </w:pPr>
          </w:p>
        </w:tc>
      </w:tr>
      <w:tr w14:paraId="3069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42" w:type="dxa"/>
            <w:tcBorders>
              <w:top w:val="single" w:color="auto" w:sz="4" w:space="0"/>
              <w:left w:val="single" w:color="auto" w:sz="4" w:space="0"/>
              <w:bottom w:val="single" w:color="auto" w:sz="4" w:space="0"/>
              <w:right w:val="single" w:color="auto" w:sz="4" w:space="0"/>
            </w:tcBorders>
            <w:vAlign w:val="center"/>
          </w:tcPr>
          <w:p w14:paraId="3297FE79">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联系人</w:t>
            </w:r>
          </w:p>
        </w:tc>
        <w:tc>
          <w:tcPr>
            <w:tcW w:w="2822" w:type="dxa"/>
            <w:gridSpan w:val="2"/>
            <w:tcBorders>
              <w:top w:val="single" w:color="auto" w:sz="4" w:space="0"/>
              <w:left w:val="single" w:color="auto" w:sz="4" w:space="0"/>
              <w:bottom w:val="single" w:color="auto" w:sz="4" w:space="0"/>
              <w:right w:val="single" w:color="auto" w:sz="4" w:space="0"/>
            </w:tcBorders>
            <w:vAlign w:val="center"/>
          </w:tcPr>
          <w:p w14:paraId="0C0A2687">
            <w:pPr>
              <w:ind w:firstLine="0" w:firstLineChars="0"/>
              <w:jc w:val="center"/>
              <w:rPr>
                <w:rFonts w:ascii="仿宋" w:hAnsi="仿宋" w:eastAsia="仿宋" w:cs="仿宋"/>
                <w:kern w:val="0"/>
                <w:sz w:val="24"/>
                <w:szCs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7C74AFDA">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电话</w:t>
            </w:r>
          </w:p>
        </w:tc>
        <w:tc>
          <w:tcPr>
            <w:tcW w:w="2557" w:type="dxa"/>
            <w:gridSpan w:val="2"/>
            <w:tcBorders>
              <w:top w:val="single" w:color="auto" w:sz="4" w:space="0"/>
              <w:left w:val="single" w:color="auto" w:sz="4" w:space="0"/>
              <w:bottom w:val="single" w:color="auto" w:sz="4" w:space="0"/>
              <w:right w:val="single" w:color="auto" w:sz="4" w:space="0"/>
            </w:tcBorders>
            <w:vAlign w:val="center"/>
          </w:tcPr>
          <w:p w14:paraId="238B41D9">
            <w:pPr>
              <w:ind w:firstLine="0" w:firstLineChars="0"/>
              <w:jc w:val="center"/>
              <w:rPr>
                <w:rFonts w:ascii="仿宋" w:hAnsi="仿宋" w:eastAsia="仿宋" w:cs="仿宋"/>
                <w:kern w:val="0"/>
                <w:sz w:val="24"/>
                <w:szCs w:val="24"/>
              </w:rPr>
            </w:pPr>
          </w:p>
        </w:tc>
      </w:tr>
      <w:tr w14:paraId="603D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42" w:type="dxa"/>
            <w:tcBorders>
              <w:top w:val="single" w:color="auto" w:sz="4" w:space="0"/>
              <w:left w:val="single" w:color="auto" w:sz="4" w:space="0"/>
              <w:bottom w:val="single" w:color="auto" w:sz="4" w:space="0"/>
              <w:right w:val="single" w:color="auto" w:sz="4" w:space="0"/>
            </w:tcBorders>
            <w:vAlign w:val="center"/>
          </w:tcPr>
          <w:p w14:paraId="67FDBFCD">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传真</w:t>
            </w:r>
          </w:p>
        </w:tc>
        <w:tc>
          <w:tcPr>
            <w:tcW w:w="2822" w:type="dxa"/>
            <w:gridSpan w:val="2"/>
            <w:tcBorders>
              <w:top w:val="single" w:color="auto" w:sz="4" w:space="0"/>
              <w:left w:val="single" w:color="auto" w:sz="4" w:space="0"/>
              <w:bottom w:val="single" w:color="auto" w:sz="4" w:space="0"/>
              <w:right w:val="single" w:color="auto" w:sz="4" w:space="0"/>
            </w:tcBorders>
            <w:vAlign w:val="center"/>
          </w:tcPr>
          <w:p w14:paraId="0CB3F6D0">
            <w:pPr>
              <w:ind w:firstLine="0" w:firstLineChars="0"/>
              <w:jc w:val="center"/>
              <w:rPr>
                <w:rFonts w:ascii="仿宋" w:hAnsi="仿宋" w:eastAsia="仿宋" w:cs="仿宋"/>
                <w:kern w:val="0"/>
                <w:sz w:val="24"/>
                <w:szCs w:val="24"/>
              </w:rPr>
            </w:pPr>
          </w:p>
        </w:tc>
        <w:tc>
          <w:tcPr>
            <w:tcW w:w="1198" w:type="dxa"/>
            <w:tcBorders>
              <w:top w:val="single" w:color="auto" w:sz="4" w:space="0"/>
              <w:left w:val="single" w:color="auto" w:sz="4" w:space="0"/>
              <w:bottom w:val="single" w:color="auto" w:sz="4" w:space="0"/>
              <w:right w:val="single" w:color="auto" w:sz="4" w:space="0"/>
            </w:tcBorders>
            <w:vAlign w:val="center"/>
          </w:tcPr>
          <w:p w14:paraId="6F104D25">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网址</w:t>
            </w:r>
          </w:p>
        </w:tc>
        <w:tc>
          <w:tcPr>
            <w:tcW w:w="2557" w:type="dxa"/>
            <w:gridSpan w:val="2"/>
            <w:tcBorders>
              <w:top w:val="single" w:color="auto" w:sz="4" w:space="0"/>
              <w:left w:val="single" w:color="auto" w:sz="4" w:space="0"/>
              <w:bottom w:val="single" w:color="auto" w:sz="4" w:space="0"/>
              <w:right w:val="single" w:color="auto" w:sz="4" w:space="0"/>
            </w:tcBorders>
            <w:vAlign w:val="center"/>
          </w:tcPr>
          <w:p w14:paraId="5F6C7E7F">
            <w:pPr>
              <w:ind w:firstLine="0" w:firstLineChars="0"/>
              <w:jc w:val="center"/>
              <w:rPr>
                <w:rFonts w:ascii="仿宋" w:hAnsi="仿宋" w:eastAsia="仿宋" w:cs="仿宋"/>
                <w:kern w:val="0"/>
                <w:sz w:val="24"/>
                <w:szCs w:val="24"/>
              </w:rPr>
            </w:pPr>
          </w:p>
        </w:tc>
      </w:tr>
      <w:tr w14:paraId="7432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842" w:type="dxa"/>
            <w:tcBorders>
              <w:top w:val="single" w:color="auto" w:sz="4" w:space="0"/>
              <w:left w:val="single" w:color="auto" w:sz="4" w:space="0"/>
              <w:bottom w:val="single" w:color="auto" w:sz="4" w:space="0"/>
              <w:right w:val="single" w:color="auto" w:sz="4" w:space="0"/>
            </w:tcBorders>
            <w:vAlign w:val="center"/>
          </w:tcPr>
          <w:p w14:paraId="3D867843">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法定代表人</w:t>
            </w:r>
          </w:p>
        </w:tc>
        <w:tc>
          <w:tcPr>
            <w:tcW w:w="6577" w:type="dxa"/>
            <w:gridSpan w:val="5"/>
            <w:tcBorders>
              <w:top w:val="single" w:color="auto" w:sz="4" w:space="0"/>
              <w:left w:val="single" w:color="auto" w:sz="4" w:space="0"/>
              <w:bottom w:val="single" w:color="auto" w:sz="4" w:space="0"/>
              <w:right w:val="single" w:color="auto" w:sz="4" w:space="0"/>
            </w:tcBorders>
            <w:vAlign w:val="center"/>
          </w:tcPr>
          <w:p w14:paraId="6AC07416">
            <w:pPr>
              <w:ind w:firstLine="0" w:firstLineChars="0"/>
              <w:jc w:val="center"/>
              <w:rPr>
                <w:rFonts w:ascii="仿宋" w:hAnsi="仿宋" w:eastAsia="仿宋" w:cs="仿宋"/>
                <w:b/>
                <w:kern w:val="0"/>
                <w:sz w:val="24"/>
                <w:szCs w:val="24"/>
              </w:rPr>
            </w:pPr>
          </w:p>
        </w:tc>
      </w:tr>
      <w:tr w14:paraId="0526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42" w:type="dxa"/>
            <w:tcBorders>
              <w:top w:val="single" w:color="auto" w:sz="4" w:space="0"/>
              <w:left w:val="single" w:color="auto" w:sz="4" w:space="0"/>
              <w:bottom w:val="single" w:color="auto" w:sz="4" w:space="0"/>
              <w:right w:val="single" w:color="auto" w:sz="4" w:space="0"/>
            </w:tcBorders>
            <w:vAlign w:val="center"/>
          </w:tcPr>
          <w:p w14:paraId="494156CD">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成立时间</w:t>
            </w:r>
          </w:p>
        </w:tc>
        <w:tc>
          <w:tcPr>
            <w:tcW w:w="1668" w:type="dxa"/>
            <w:tcBorders>
              <w:top w:val="single" w:color="auto" w:sz="4" w:space="0"/>
              <w:left w:val="single" w:color="auto" w:sz="4" w:space="0"/>
              <w:bottom w:val="single" w:color="auto" w:sz="4" w:space="0"/>
              <w:right w:val="single" w:color="auto" w:sz="4" w:space="0"/>
            </w:tcBorders>
            <w:vAlign w:val="center"/>
          </w:tcPr>
          <w:p w14:paraId="6AABC2AC">
            <w:pPr>
              <w:ind w:firstLine="0" w:firstLineChars="0"/>
              <w:jc w:val="center"/>
              <w:rPr>
                <w:rFonts w:ascii="仿宋" w:hAnsi="仿宋" w:eastAsia="仿宋" w:cs="仿宋"/>
                <w:kern w:val="0"/>
                <w:sz w:val="24"/>
                <w:szCs w:val="24"/>
              </w:rPr>
            </w:pPr>
          </w:p>
        </w:tc>
        <w:tc>
          <w:tcPr>
            <w:tcW w:w="4909" w:type="dxa"/>
            <w:gridSpan w:val="4"/>
            <w:tcBorders>
              <w:top w:val="single" w:color="auto" w:sz="4" w:space="0"/>
              <w:left w:val="single" w:color="auto" w:sz="4" w:space="0"/>
              <w:bottom w:val="single" w:color="auto" w:sz="4" w:space="0"/>
              <w:right w:val="single" w:color="auto" w:sz="4" w:space="0"/>
            </w:tcBorders>
            <w:vAlign w:val="center"/>
          </w:tcPr>
          <w:p w14:paraId="5A583645">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员工总人数：</w:t>
            </w:r>
          </w:p>
        </w:tc>
      </w:tr>
      <w:tr w14:paraId="45A0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842" w:type="dxa"/>
            <w:tcBorders>
              <w:top w:val="single" w:color="auto" w:sz="4" w:space="0"/>
              <w:left w:val="single" w:color="auto" w:sz="4" w:space="0"/>
              <w:right w:val="single" w:color="auto" w:sz="4" w:space="0"/>
            </w:tcBorders>
            <w:vAlign w:val="center"/>
          </w:tcPr>
          <w:p w14:paraId="3FF5C842">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营业执照号</w:t>
            </w:r>
          </w:p>
        </w:tc>
        <w:tc>
          <w:tcPr>
            <w:tcW w:w="1668" w:type="dxa"/>
            <w:tcBorders>
              <w:top w:val="single" w:color="auto" w:sz="4" w:space="0"/>
              <w:left w:val="single" w:color="auto" w:sz="4" w:space="0"/>
              <w:right w:val="single" w:color="auto" w:sz="4" w:space="0"/>
            </w:tcBorders>
            <w:vAlign w:val="center"/>
          </w:tcPr>
          <w:p w14:paraId="531072DA">
            <w:pPr>
              <w:ind w:firstLine="0" w:firstLineChars="0"/>
              <w:jc w:val="center"/>
              <w:rPr>
                <w:rFonts w:ascii="仿宋" w:hAnsi="仿宋" w:eastAsia="仿宋" w:cs="仿宋"/>
                <w:kern w:val="0"/>
                <w:sz w:val="24"/>
                <w:szCs w:val="24"/>
              </w:rPr>
            </w:pPr>
          </w:p>
        </w:tc>
        <w:tc>
          <w:tcPr>
            <w:tcW w:w="1154" w:type="dxa"/>
            <w:vMerge w:val="restart"/>
            <w:tcBorders>
              <w:top w:val="single" w:color="auto" w:sz="4" w:space="0"/>
              <w:left w:val="single" w:color="auto" w:sz="4" w:space="0"/>
              <w:bottom w:val="single" w:color="auto" w:sz="4" w:space="0"/>
              <w:right w:val="single" w:color="auto" w:sz="4" w:space="0"/>
            </w:tcBorders>
            <w:vAlign w:val="center"/>
          </w:tcPr>
          <w:p w14:paraId="3912FE18">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其中</w:t>
            </w:r>
          </w:p>
        </w:tc>
        <w:tc>
          <w:tcPr>
            <w:tcW w:w="1552" w:type="dxa"/>
            <w:gridSpan w:val="2"/>
            <w:tcBorders>
              <w:top w:val="single" w:color="auto" w:sz="4" w:space="0"/>
              <w:left w:val="single" w:color="auto" w:sz="4" w:space="0"/>
              <w:right w:val="single" w:color="auto" w:sz="4" w:space="0"/>
            </w:tcBorders>
            <w:vAlign w:val="center"/>
          </w:tcPr>
          <w:p w14:paraId="28AAC3F3">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高级职称人员</w:t>
            </w:r>
          </w:p>
        </w:tc>
        <w:tc>
          <w:tcPr>
            <w:tcW w:w="2203" w:type="dxa"/>
            <w:tcBorders>
              <w:top w:val="single" w:color="auto" w:sz="4" w:space="0"/>
              <w:left w:val="single" w:color="auto" w:sz="4" w:space="0"/>
              <w:bottom w:val="single" w:color="auto" w:sz="4" w:space="0"/>
              <w:right w:val="single" w:color="auto" w:sz="4" w:space="0"/>
            </w:tcBorders>
            <w:vAlign w:val="center"/>
          </w:tcPr>
          <w:p w14:paraId="3A2C03F7">
            <w:pPr>
              <w:ind w:firstLine="0" w:firstLineChars="0"/>
              <w:rPr>
                <w:rFonts w:ascii="仿宋" w:hAnsi="仿宋" w:eastAsia="仿宋" w:cs="仿宋"/>
                <w:b/>
                <w:kern w:val="0"/>
                <w:sz w:val="24"/>
                <w:szCs w:val="24"/>
              </w:rPr>
            </w:pPr>
          </w:p>
        </w:tc>
      </w:tr>
      <w:tr w14:paraId="7F00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842" w:type="dxa"/>
            <w:tcBorders>
              <w:top w:val="single" w:color="auto" w:sz="4" w:space="0"/>
              <w:left w:val="single" w:color="auto" w:sz="4" w:space="0"/>
              <w:bottom w:val="single" w:color="auto" w:sz="4" w:space="0"/>
              <w:right w:val="single" w:color="auto" w:sz="4" w:space="0"/>
            </w:tcBorders>
            <w:vAlign w:val="center"/>
          </w:tcPr>
          <w:p w14:paraId="48DF2D37">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注册资金</w:t>
            </w:r>
          </w:p>
        </w:tc>
        <w:tc>
          <w:tcPr>
            <w:tcW w:w="1668" w:type="dxa"/>
            <w:tcBorders>
              <w:top w:val="single" w:color="auto" w:sz="4" w:space="0"/>
              <w:left w:val="single" w:color="auto" w:sz="4" w:space="0"/>
              <w:bottom w:val="single" w:color="auto" w:sz="4" w:space="0"/>
              <w:right w:val="single" w:color="auto" w:sz="4" w:space="0"/>
            </w:tcBorders>
            <w:vAlign w:val="center"/>
          </w:tcPr>
          <w:p w14:paraId="34D66488">
            <w:pPr>
              <w:ind w:firstLine="0" w:firstLineChars="0"/>
              <w:jc w:val="center"/>
              <w:rPr>
                <w:rFonts w:ascii="仿宋" w:hAnsi="仿宋" w:eastAsia="仿宋" w:cs="仿宋"/>
                <w:kern w:val="0"/>
                <w:sz w:val="24"/>
                <w:szCs w:val="24"/>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1FDB8F2C">
            <w:pPr>
              <w:ind w:firstLine="0" w:firstLineChars="0"/>
              <w:jc w:val="center"/>
              <w:rPr>
                <w:rFonts w:ascii="仿宋" w:hAnsi="仿宋" w:eastAsia="仿宋" w:cs="仿宋"/>
                <w:sz w:val="24"/>
                <w:szCs w:val="24"/>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14:paraId="451055B0">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中级职称人员</w:t>
            </w:r>
          </w:p>
        </w:tc>
        <w:tc>
          <w:tcPr>
            <w:tcW w:w="2203" w:type="dxa"/>
            <w:tcBorders>
              <w:top w:val="single" w:color="auto" w:sz="4" w:space="0"/>
              <w:left w:val="single" w:color="auto" w:sz="4" w:space="0"/>
              <w:bottom w:val="single" w:color="auto" w:sz="4" w:space="0"/>
              <w:right w:val="single" w:color="auto" w:sz="4" w:space="0"/>
            </w:tcBorders>
            <w:vAlign w:val="center"/>
          </w:tcPr>
          <w:p w14:paraId="1EB41E73">
            <w:pPr>
              <w:ind w:firstLine="0" w:firstLineChars="0"/>
              <w:rPr>
                <w:rFonts w:ascii="仿宋" w:hAnsi="仿宋" w:eastAsia="仿宋" w:cs="仿宋"/>
                <w:b/>
                <w:kern w:val="0"/>
                <w:sz w:val="24"/>
                <w:szCs w:val="24"/>
              </w:rPr>
            </w:pPr>
          </w:p>
        </w:tc>
      </w:tr>
      <w:tr w14:paraId="20BB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842" w:type="dxa"/>
            <w:tcBorders>
              <w:top w:val="single" w:color="auto" w:sz="4" w:space="0"/>
              <w:left w:val="single" w:color="auto" w:sz="4" w:space="0"/>
              <w:bottom w:val="single" w:color="auto" w:sz="4" w:space="0"/>
              <w:right w:val="single" w:color="auto" w:sz="4" w:space="0"/>
            </w:tcBorders>
            <w:vAlign w:val="center"/>
          </w:tcPr>
          <w:p w14:paraId="61F5C2C3">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开户银行</w:t>
            </w:r>
          </w:p>
        </w:tc>
        <w:tc>
          <w:tcPr>
            <w:tcW w:w="1668" w:type="dxa"/>
            <w:tcBorders>
              <w:top w:val="single" w:color="auto" w:sz="4" w:space="0"/>
              <w:left w:val="single" w:color="auto" w:sz="4" w:space="0"/>
              <w:bottom w:val="single" w:color="auto" w:sz="4" w:space="0"/>
              <w:right w:val="single" w:color="auto" w:sz="4" w:space="0"/>
            </w:tcBorders>
            <w:vAlign w:val="center"/>
          </w:tcPr>
          <w:p w14:paraId="2C3D9393">
            <w:pPr>
              <w:ind w:firstLine="0" w:firstLineChars="0"/>
              <w:jc w:val="center"/>
              <w:rPr>
                <w:rFonts w:ascii="仿宋" w:hAnsi="仿宋" w:eastAsia="仿宋" w:cs="仿宋"/>
                <w:kern w:val="0"/>
                <w:sz w:val="24"/>
                <w:szCs w:val="24"/>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515334FC">
            <w:pPr>
              <w:ind w:firstLine="0" w:firstLineChars="0"/>
              <w:jc w:val="center"/>
              <w:rPr>
                <w:rFonts w:ascii="仿宋" w:hAnsi="仿宋" w:eastAsia="仿宋" w:cs="仿宋"/>
                <w:sz w:val="24"/>
                <w:szCs w:val="24"/>
              </w:rPr>
            </w:pPr>
          </w:p>
        </w:tc>
        <w:tc>
          <w:tcPr>
            <w:tcW w:w="1552" w:type="dxa"/>
            <w:gridSpan w:val="2"/>
            <w:vMerge w:val="restart"/>
            <w:tcBorders>
              <w:top w:val="single" w:color="auto" w:sz="4" w:space="0"/>
              <w:left w:val="single" w:color="auto" w:sz="4" w:space="0"/>
              <w:right w:val="single" w:color="auto" w:sz="4" w:space="0"/>
            </w:tcBorders>
            <w:vAlign w:val="center"/>
          </w:tcPr>
          <w:p w14:paraId="00248570">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初级职称人员</w:t>
            </w:r>
          </w:p>
        </w:tc>
        <w:tc>
          <w:tcPr>
            <w:tcW w:w="2203" w:type="dxa"/>
            <w:vMerge w:val="restart"/>
            <w:tcBorders>
              <w:top w:val="single" w:color="auto" w:sz="4" w:space="0"/>
              <w:left w:val="single" w:color="auto" w:sz="4" w:space="0"/>
              <w:right w:val="single" w:color="auto" w:sz="4" w:space="0"/>
            </w:tcBorders>
            <w:vAlign w:val="center"/>
          </w:tcPr>
          <w:p w14:paraId="141FBDA8">
            <w:pPr>
              <w:ind w:firstLine="0" w:firstLineChars="0"/>
              <w:rPr>
                <w:rFonts w:ascii="仿宋" w:hAnsi="仿宋" w:eastAsia="仿宋" w:cs="仿宋"/>
                <w:b/>
                <w:kern w:val="0"/>
                <w:sz w:val="24"/>
                <w:szCs w:val="24"/>
              </w:rPr>
            </w:pPr>
          </w:p>
        </w:tc>
      </w:tr>
      <w:tr w14:paraId="18B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42" w:type="dxa"/>
            <w:tcBorders>
              <w:top w:val="single" w:color="auto" w:sz="4" w:space="0"/>
              <w:left w:val="single" w:color="auto" w:sz="4" w:space="0"/>
              <w:bottom w:val="single" w:color="auto" w:sz="4" w:space="0"/>
              <w:right w:val="single" w:color="auto" w:sz="4" w:space="0"/>
            </w:tcBorders>
            <w:vAlign w:val="center"/>
          </w:tcPr>
          <w:p w14:paraId="56AB13D9">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账号</w:t>
            </w:r>
          </w:p>
        </w:tc>
        <w:tc>
          <w:tcPr>
            <w:tcW w:w="1668" w:type="dxa"/>
            <w:tcBorders>
              <w:top w:val="single" w:color="auto" w:sz="4" w:space="0"/>
              <w:left w:val="single" w:color="auto" w:sz="4" w:space="0"/>
              <w:bottom w:val="single" w:color="auto" w:sz="4" w:space="0"/>
              <w:right w:val="single" w:color="auto" w:sz="4" w:space="0"/>
            </w:tcBorders>
            <w:vAlign w:val="center"/>
          </w:tcPr>
          <w:p w14:paraId="7C2562AA">
            <w:pPr>
              <w:ind w:firstLine="0" w:firstLineChars="0"/>
              <w:rPr>
                <w:rFonts w:ascii="仿宋" w:hAnsi="仿宋" w:eastAsia="仿宋" w:cs="仿宋"/>
                <w:kern w:val="0"/>
                <w:sz w:val="24"/>
                <w:szCs w:val="24"/>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4147171B">
            <w:pPr>
              <w:ind w:firstLine="0" w:firstLineChars="0"/>
              <w:rPr>
                <w:rFonts w:ascii="仿宋" w:hAnsi="仿宋" w:eastAsia="仿宋" w:cs="仿宋"/>
                <w:sz w:val="24"/>
                <w:szCs w:val="24"/>
              </w:rPr>
            </w:pPr>
          </w:p>
        </w:tc>
        <w:tc>
          <w:tcPr>
            <w:tcW w:w="1552" w:type="dxa"/>
            <w:gridSpan w:val="2"/>
            <w:vMerge w:val="continue"/>
            <w:tcBorders>
              <w:left w:val="single" w:color="auto" w:sz="4" w:space="0"/>
              <w:bottom w:val="single" w:color="auto" w:sz="4" w:space="0"/>
              <w:right w:val="single" w:color="auto" w:sz="4" w:space="0"/>
            </w:tcBorders>
            <w:vAlign w:val="center"/>
          </w:tcPr>
          <w:p w14:paraId="5F4E50AE">
            <w:pPr>
              <w:ind w:firstLine="0" w:firstLineChars="0"/>
              <w:rPr>
                <w:rFonts w:ascii="仿宋" w:hAnsi="仿宋" w:eastAsia="仿宋" w:cs="仿宋"/>
                <w:kern w:val="0"/>
                <w:sz w:val="24"/>
                <w:szCs w:val="24"/>
              </w:rPr>
            </w:pPr>
          </w:p>
        </w:tc>
        <w:tc>
          <w:tcPr>
            <w:tcW w:w="2203" w:type="dxa"/>
            <w:vMerge w:val="continue"/>
            <w:tcBorders>
              <w:left w:val="single" w:color="auto" w:sz="4" w:space="0"/>
              <w:bottom w:val="single" w:color="auto" w:sz="4" w:space="0"/>
              <w:right w:val="single" w:color="auto" w:sz="4" w:space="0"/>
            </w:tcBorders>
            <w:vAlign w:val="center"/>
          </w:tcPr>
          <w:p w14:paraId="5A7A164D">
            <w:pPr>
              <w:ind w:firstLine="0" w:firstLineChars="0"/>
              <w:rPr>
                <w:rFonts w:ascii="仿宋" w:hAnsi="仿宋" w:eastAsia="仿宋" w:cs="仿宋"/>
                <w:b/>
                <w:kern w:val="0"/>
                <w:sz w:val="24"/>
                <w:szCs w:val="24"/>
              </w:rPr>
            </w:pPr>
          </w:p>
        </w:tc>
      </w:tr>
      <w:tr w14:paraId="2C97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842" w:type="dxa"/>
            <w:tcBorders>
              <w:top w:val="single" w:color="auto" w:sz="4" w:space="0"/>
              <w:left w:val="single" w:color="auto" w:sz="4" w:space="0"/>
              <w:bottom w:val="single" w:color="auto" w:sz="4" w:space="0"/>
              <w:right w:val="single" w:color="auto" w:sz="4" w:space="0"/>
            </w:tcBorders>
            <w:vAlign w:val="center"/>
          </w:tcPr>
          <w:p w14:paraId="27D33A3C">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经营范围</w:t>
            </w:r>
          </w:p>
        </w:tc>
        <w:tc>
          <w:tcPr>
            <w:tcW w:w="6577" w:type="dxa"/>
            <w:gridSpan w:val="5"/>
            <w:tcBorders>
              <w:top w:val="single" w:color="auto" w:sz="4" w:space="0"/>
              <w:left w:val="single" w:color="auto" w:sz="4" w:space="0"/>
              <w:bottom w:val="single" w:color="auto" w:sz="4" w:space="0"/>
              <w:right w:val="single" w:color="auto" w:sz="4" w:space="0"/>
            </w:tcBorders>
            <w:vAlign w:val="center"/>
          </w:tcPr>
          <w:p w14:paraId="6D6DE92F">
            <w:pPr>
              <w:ind w:firstLine="0" w:firstLineChars="0"/>
              <w:rPr>
                <w:rFonts w:ascii="仿宋" w:hAnsi="仿宋" w:eastAsia="仿宋" w:cs="仿宋"/>
                <w:b/>
                <w:kern w:val="0"/>
                <w:sz w:val="24"/>
                <w:szCs w:val="24"/>
              </w:rPr>
            </w:pPr>
          </w:p>
        </w:tc>
      </w:tr>
      <w:tr w14:paraId="562B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842" w:type="dxa"/>
            <w:tcBorders>
              <w:top w:val="single" w:color="auto" w:sz="4" w:space="0"/>
              <w:left w:val="single" w:color="auto" w:sz="4" w:space="0"/>
              <w:bottom w:val="single" w:color="auto" w:sz="4" w:space="0"/>
              <w:right w:val="single" w:color="auto" w:sz="4" w:space="0"/>
            </w:tcBorders>
            <w:vAlign w:val="center"/>
          </w:tcPr>
          <w:p w14:paraId="5094D982">
            <w:pPr>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lang w:bidi="ar"/>
              </w:rPr>
              <w:t>备注</w:t>
            </w:r>
          </w:p>
        </w:tc>
        <w:tc>
          <w:tcPr>
            <w:tcW w:w="6577" w:type="dxa"/>
            <w:gridSpan w:val="5"/>
            <w:tcBorders>
              <w:top w:val="single" w:color="auto" w:sz="4" w:space="0"/>
              <w:left w:val="single" w:color="auto" w:sz="4" w:space="0"/>
              <w:bottom w:val="single" w:color="auto" w:sz="4" w:space="0"/>
              <w:right w:val="single" w:color="auto" w:sz="4" w:space="0"/>
            </w:tcBorders>
          </w:tcPr>
          <w:p w14:paraId="79694290">
            <w:pPr>
              <w:ind w:firstLine="0" w:firstLineChars="0"/>
              <w:rPr>
                <w:rFonts w:ascii="仿宋" w:hAnsi="仿宋" w:eastAsia="仿宋" w:cs="仿宋"/>
                <w:kern w:val="0"/>
                <w:sz w:val="24"/>
                <w:szCs w:val="24"/>
              </w:rPr>
            </w:pPr>
          </w:p>
        </w:tc>
      </w:tr>
    </w:tbl>
    <w:p w14:paraId="6115638B">
      <w:pPr>
        <w:ind w:firstLine="0" w:firstLineChars="0"/>
        <w:jc w:val="center"/>
        <w:rPr>
          <w:rFonts w:ascii="仿宋" w:hAnsi="仿宋" w:eastAsia="仿宋" w:cs="仿宋"/>
          <w:b/>
          <w:bCs/>
          <w:sz w:val="24"/>
          <w:szCs w:val="24"/>
        </w:rPr>
      </w:pPr>
      <w:bookmarkStart w:id="154" w:name="_Toc18511"/>
      <w:bookmarkStart w:id="155" w:name="_Toc8417"/>
      <w:bookmarkStart w:id="156" w:name="_Toc8230"/>
      <w:bookmarkStart w:id="157" w:name="_Toc26526"/>
      <w:r>
        <w:rPr>
          <w:rFonts w:hint="eastAsia" w:ascii="仿宋" w:hAnsi="仿宋" w:eastAsia="仿宋" w:cs="仿宋"/>
          <w:b/>
          <w:bCs/>
          <w:sz w:val="24"/>
          <w:szCs w:val="24"/>
        </w:rPr>
        <w:t>1.供应商基本情况表</w:t>
      </w:r>
      <w:bookmarkEnd w:id="153"/>
      <w:bookmarkEnd w:id="154"/>
      <w:bookmarkEnd w:id="155"/>
      <w:bookmarkEnd w:id="156"/>
      <w:bookmarkEnd w:id="157"/>
    </w:p>
    <w:p w14:paraId="0C98A81C">
      <w:pPr>
        <w:pStyle w:val="84"/>
        <w:ind w:firstLine="0" w:firstLineChars="0"/>
        <w:rPr>
          <w:rFonts w:ascii="仿宋" w:hAnsi="仿宋" w:eastAsia="仿宋" w:cs="仿宋"/>
          <w:b/>
          <w:bCs/>
          <w:kern w:val="2"/>
          <w:szCs w:val="24"/>
        </w:rPr>
      </w:pPr>
    </w:p>
    <w:p w14:paraId="57760121">
      <w:pPr>
        <w:pStyle w:val="84"/>
        <w:ind w:firstLine="0" w:firstLineChars="0"/>
        <w:rPr>
          <w:rFonts w:ascii="仿宋" w:hAnsi="仿宋" w:eastAsia="仿宋" w:cs="仿宋"/>
          <w:b/>
          <w:bCs/>
          <w:kern w:val="2"/>
          <w:szCs w:val="24"/>
        </w:rPr>
      </w:pPr>
    </w:p>
    <w:p w14:paraId="6516295A">
      <w:pPr>
        <w:pStyle w:val="84"/>
        <w:ind w:firstLine="0" w:firstLineChars="0"/>
        <w:rPr>
          <w:rFonts w:ascii="仿宋" w:hAnsi="仿宋" w:eastAsia="仿宋" w:cs="仿宋"/>
          <w:b/>
          <w:bCs/>
          <w:kern w:val="2"/>
          <w:szCs w:val="24"/>
        </w:rPr>
      </w:pPr>
    </w:p>
    <w:p w14:paraId="1E3D3DC9">
      <w:pPr>
        <w:pStyle w:val="84"/>
        <w:ind w:firstLine="482"/>
        <w:rPr>
          <w:rFonts w:ascii="Arial" w:hAnsi="Arial" w:eastAsia="Arial" w:cs="Arial"/>
          <w:b/>
          <w:bCs/>
          <w:kern w:val="2"/>
          <w:szCs w:val="24"/>
        </w:rPr>
      </w:pPr>
    </w:p>
    <w:p w14:paraId="2E780490">
      <w:pPr>
        <w:widowControl/>
        <w:numPr>
          <w:ilvl w:val="0"/>
          <w:numId w:val="5"/>
        </w:numPr>
        <w:wordWrap w:val="0"/>
        <w:adjustRightInd w:val="0"/>
        <w:snapToGrid w:val="0"/>
        <w:ind w:firstLine="0" w:firstLineChars="0"/>
        <w:jc w:val="center"/>
        <w:rPr>
          <w:rFonts w:ascii="仿宋" w:hAnsi="仿宋" w:eastAsia="仿宋" w:cs="仿宋"/>
          <w:b/>
          <w:sz w:val="24"/>
          <w:szCs w:val="24"/>
        </w:rPr>
      </w:pPr>
      <w:bookmarkStart w:id="158" w:name="_Toc12230"/>
      <w:bookmarkStart w:id="159" w:name="_Toc5286"/>
      <w:bookmarkStart w:id="160" w:name="_Toc5880"/>
      <w:r>
        <w:rPr>
          <w:rFonts w:hint="eastAsia" w:ascii="仿宋" w:hAnsi="仿宋" w:eastAsia="仿宋" w:cs="仿宋"/>
          <w:b/>
          <w:sz w:val="24"/>
          <w:szCs w:val="24"/>
        </w:rPr>
        <w:t>资格相关资料</w:t>
      </w:r>
    </w:p>
    <w:p w14:paraId="4D53D929">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1.具有中华人民共和国境内依法登记注册的独立法人资格，具有独立承担民事责任的能力。提供有效的营业执照副本复印件或扫描件加盖供应商公章（鲜章或电子印章）；</w:t>
      </w:r>
    </w:p>
    <w:p w14:paraId="24BED35C">
      <w:pPr>
        <w:widowControl/>
        <w:snapToGrid w:val="0"/>
        <w:ind w:firstLine="480"/>
        <w:rPr>
          <w:rFonts w:ascii="仿宋" w:hAnsi="仿宋" w:eastAsia="仿宋" w:cs="仿宋"/>
          <w:kern w:val="0"/>
          <w:sz w:val="24"/>
          <w:szCs w:val="24"/>
        </w:rPr>
      </w:pPr>
      <w:r>
        <w:rPr>
          <w:rFonts w:hint="eastAsia" w:ascii="仿宋" w:hAnsi="仿宋" w:eastAsia="仿宋" w:cs="仿宋"/>
          <w:kern w:val="0"/>
          <w:sz w:val="24"/>
          <w:szCs w:val="24"/>
        </w:rPr>
        <w:t>2.具有依法缴纳税收和社会保障资金的良好记录（新成立不足3个月的供应商本项不作要求）。提供2024年1月至本项目响应文件递交截止时间前任意连续三个月缴纳税收和社会保障资金凭证等相关资料复印件或扫描件加盖供应商单位公章（鲜章或电子印章）；</w:t>
      </w:r>
    </w:p>
    <w:p w14:paraId="47BF459D">
      <w:pPr>
        <w:widowControl/>
        <w:adjustRightInd w:val="0"/>
        <w:snapToGrid w:val="0"/>
        <w:ind w:firstLine="480"/>
        <w:outlineLvl w:val="2"/>
        <w:rPr>
          <w:rFonts w:ascii="Arial" w:hAnsi="Arial" w:eastAsia="Arial" w:cs="Arial"/>
          <w:bCs/>
          <w:sz w:val="24"/>
          <w:szCs w:val="24"/>
        </w:rPr>
      </w:pPr>
    </w:p>
    <w:p w14:paraId="0FDE8608">
      <w:pPr>
        <w:widowControl/>
        <w:adjustRightInd w:val="0"/>
        <w:snapToGrid w:val="0"/>
        <w:ind w:firstLine="480"/>
        <w:outlineLvl w:val="2"/>
        <w:rPr>
          <w:rFonts w:ascii="Arial" w:hAnsi="Arial" w:eastAsia="Arial" w:cs="Arial"/>
          <w:bCs/>
          <w:sz w:val="24"/>
          <w:szCs w:val="24"/>
        </w:rPr>
      </w:pPr>
    </w:p>
    <w:p w14:paraId="66C8AD42">
      <w:pPr>
        <w:widowControl/>
        <w:adjustRightInd w:val="0"/>
        <w:snapToGrid w:val="0"/>
        <w:ind w:firstLine="480"/>
        <w:outlineLvl w:val="2"/>
        <w:rPr>
          <w:rFonts w:ascii="Arial" w:hAnsi="Arial" w:eastAsia="Arial" w:cs="Arial"/>
          <w:bCs/>
          <w:sz w:val="24"/>
          <w:szCs w:val="24"/>
        </w:rPr>
      </w:pPr>
    </w:p>
    <w:p w14:paraId="3BAB9A56">
      <w:pPr>
        <w:widowControl/>
        <w:adjustRightInd w:val="0"/>
        <w:snapToGrid w:val="0"/>
        <w:ind w:firstLine="480"/>
        <w:outlineLvl w:val="2"/>
        <w:rPr>
          <w:rFonts w:ascii="Arial" w:hAnsi="Arial" w:eastAsia="Arial" w:cs="Arial"/>
          <w:bCs/>
          <w:sz w:val="24"/>
          <w:szCs w:val="24"/>
        </w:rPr>
      </w:pPr>
    </w:p>
    <w:p w14:paraId="414CBB85">
      <w:pPr>
        <w:widowControl/>
        <w:adjustRightInd w:val="0"/>
        <w:snapToGrid w:val="0"/>
        <w:ind w:firstLine="480"/>
        <w:outlineLvl w:val="2"/>
        <w:rPr>
          <w:rFonts w:ascii="Arial" w:hAnsi="Arial" w:eastAsia="Arial" w:cs="Arial"/>
          <w:bCs/>
          <w:sz w:val="24"/>
          <w:szCs w:val="24"/>
        </w:rPr>
      </w:pPr>
    </w:p>
    <w:p w14:paraId="37C2B4D5">
      <w:pPr>
        <w:widowControl/>
        <w:adjustRightInd w:val="0"/>
        <w:snapToGrid w:val="0"/>
        <w:ind w:firstLine="480"/>
        <w:outlineLvl w:val="2"/>
        <w:rPr>
          <w:rFonts w:ascii="Arial" w:hAnsi="Arial" w:eastAsia="Arial" w:cs="Arial"/>
          <w:bCs/>
          <w:sz w:val="24"/>
          <w:szCs w:val="24"/>
        </w:rPr>
      </w:pPr>
    </w:p>
    <w:p w14:paraId="43A02F36">
      <w:pPr>
        <w:widowControl/>
        <w:adjustRightInd w:val="0"/>
        <w:snapToGrid w:val="0"/>
        <w:ind w:firstLine="480"/>
        <w:outlineLvl w:val="2"/>
        <w:rPr>
          <w:rFonts w:ascii="Arial" w:hAnsi="Arial" w:eastAsia="Arial" w:cs="Arial"/>
          <w:bCs/>
          <w:sz w:val="24"/>
          <w:szCs w:val="24"/>
        </w:rPr>
      </w:pPr>
    </w:p>
    <w:p w14:paraId="734010AB">
      <w:pPr>
        <w:widowControl/>
        <w:adjustRightInd w:val="0"/>
        <w:snapToGrid w:val="0"/>
        <w:ind w:firstLine="480"/>
        <w:outlineLvl w:val="2"/>
        <w:rPr>
          <w:rFonts w:ascii="Arial" w:hAnsi="Arial" w:eastAsia="Arial" w:cs="Arial"/>
          <w:bCs/>
          <w:sz w:val="24"/>
          <w:szCs w:val="24"/>
        </w:rPr>
      </w:pPr>
    </w:p>
    <w:p w14:paraId="7BCC5918">
      <w:pPr>
        <w:widowControl/>
        <w:adjustRightInd w:val="0"/>
        <w:snapToGrid w:val="0"/>
        <w:ind w:firstLine="480"/>
        <w:outlineLvl w:val="2"/>
        <w:rPr>
          <w:rFonts w:ascii="Arial" w:hAnsi="Arial" w:eastAsia="Arial" w:cs="Arial"/>
          <w:bCs/>
          <w:sz w:val="24"/>
          <w:szCs w:val="24"/>
        </w:rPr>
      </w:pPr>
    </w:p>
    <w:p w14:paraId="6982D9FD">
      <w:pPr>
        <w:widowControl/>
        <w:adjustRightInd w:val="0"/>
        <w:snapToGrid w:val="0"/>
        <w:ind w:firstLine="480"/>
        <w:outlineLvl w:val="2"/>
        <w:rPr>
          <w:rFonts w:ascii="Arial" w:hAnsi="Arial" w:eastAsia="Arial" w:cs="Arial"/>
          <w:bCs/>
          <w:sz w:val="24"/>
          <w:szCs w:val="24"/>
        </w:rPr>
      </w:pPr>
    </w:p>
    <w:p w14:paraId="5BF1AAE1">
      <w:pPr>
        <w:widowControl/>
        <w:adjustRightInd w:val="0"/>
        <w:snapToGrid w:val="0"/>
        <w:ind w:firstLine="480"/>
        <w:outlineLvl w:val="2"/>
        <w:rPr>
          <w:rFonts w:ascii="Arial" w:hAnsi="Arial" w:eastAsia="Arial" w:cs="Arial"/>
          <w:bCs/>
          <w:sz w:val="24"/>
          <w:szCs w:val="24"/>
        </w:rPr>
      </w:pPr>
    </w:p>
    <w:p w14:paraId="61357020">
      <w:pPr>
        <w:widowControl/>
        <w:adjustRightInd w:val="0"/>
        <w:snapToGrid w:val="0"/>
        <w:ind w:firstLine="480"/>
        <w:outlineLvl w:val="2"/>
        <w:rPr>
          <w:rFonts w:ascii="Arial" w:hAnsi="Arial" w:eastAsia="Arial" w:cs="Arial"/>
          <w:bCs/>
          <w:sz w:val="24"/>
          <w:szCs w:val="24"/>
        </w:rPr>
      </w:pPr>
    </w:p>
    <w:p w14:paraId="5A1B552A">
      <w:pPr>
        <w:widowControl/>
        <w:adjustRightInd w:val="0"/>
        <w:snapToGrid w:val="0"/>
        <w:ind w:firstLine="480"/>
        <w:outlineLvl w:val="2"/>
        <w:rPr>
          <w:rFonts w:ascii="Arial" w:hAnsi="Arial" w:eastAsia="Arial" w:cs="Arial"/>
          <w:bCs/>
          <w:sz w:val="24"/>
          <w:szCs w:val="24"/>
        </w:rPr>
      </w:pPr>
    </w:p>
    <w:p w14:paraId="659F086B">
      <w:pPr>
        <w:widowControl/>
        <w:adjustRightInd w:val="0"/>
        <w:snapToGrid w:val="0"/>
        <w:ind w:firstLine="480"/>
        <w:outlineLvl w:val="2"/>
        <w:rPr>
          <w:rFonts w:ascii="Arial" w:hAnsi="Arial" w:eastAsia="Arial" w:cs="Arial"/>
          <w:bCs/>
          <w:sz w:val="24"/>
          <w:szCs w:val="24"/>
        </w:rPr>
      </w:pPr>
    </w:p>
    <w:p w14:paraId="2112DABF">
      <w:pPr>
        <w:widowControl/>
        <w:adjustRightInd w:val="0"/>
        <w:snapToGrid w:val="0"/>
        <w:ind w:firstLine="480"/>
        <w:outlineLvl w:val="2"/>
        <w:rPr>
          <w:rFonts w:ascii="Arial" w:hAnsi="Arial" w:eastAsia="Arial" w:cs="Arial"/>
          <w:bCs/>
          <w:sz w:val="24"/>
          <w:szCs w:val="24"/>
        </w:rPr>
      </w:pPr>
    </w:p>
    <w:p w14:paraId="6B5E9E1C">
      <w:pPr>
        <w:widowControl/>
        <w:adjustRightInd w:val="0"/>
        <w:snapToGrid w:val="0"/>
        <w:ind w:firstLine="480"/>
        <w:outlineLvl w:val="2"/>
        <w:rPr>
          <w:rFonts w:ascii="Arial" w:hAnsi="Arial" w:eastAsia="Arial" w:cs="Arial"/>
          <w:bCs/>
          <w:sz w:val="24"/>
          <w:szCs w:val="24"/>
        </w:rPr>
      </w:pPr>
    </w:p>
    <w:p w14:paraId="27E49860">
      <w:pPr>
        <w:widowControl/>
        <w:adjustRightInd w:val="0"/>
        <w:snapToGrid w:val="0"/>
        <w:ind w:firstLine="480"/>
        <w:outlineLvl w:val="2"/>
        <w:rPr>
          <w:rFonts w:ascii="Arial" w:hAnsi="Arial" w:eastAsia="Arial" w:cs="Arial"/>
          <w:bCs/>
          <w:sz w:val="24"/>
          <w:szCs w:val="24"/>
        </w:rPr>
      </w:pPr>
    </w:p>
    <w:p w14:paraId="07B66CA0">
      <w:pPr>
        <w:widowControl/>
        <w:adjustRightInd w:val="0"/>
        <w:snapToGrid w:val="0"/>
        <w:ind w:firstLine="0" w:firstLineChars="0"/>
        <w:outlineLvl w:val="2"/>
        <w:rPr>
          <w:rFonts w:ascii="仿宋" w:hAnsi="仿宋" w:eastAsia="仿宋" w:cs="仿宋"/>
          <w:b/>
          <w:bCs/>
          <w:sz w:val="24"/>
          <w:szCs w:val="24"/>
        </w:rPr>
      </w:pPr>
    </w:p>
    <w:p w14:paraId="7C71F01E">
      <w:pPr>
        <w:widowControl/>
        <w:adjustRightInd w:val="0"/>
        <w:snapToGrid w:val="0"/>
        <w:ind w:firstLine="0" w:firstLineChars="0"/>
        <w:outlineLvl w:val="2"/>
        <w:rPr>
          <w:rFonts w:ascii="仿宋" w:hAnsi="仿宋" w:eastAsia="仿宋" w:cs="仿宋"/>
          <w:b/>
          <w:bCs/>
          <w:sz w:val="24"/>
          <w:szCs w:val="24"/>
        </w:rPr>
      </w:pPr>
    </w:p>
    <w:p w14:paraId="3A159F5E">
      <w:pPr>
        <w:widowControl/>
        <w:adjustRightInd w:val="0"/>
        <w:snapToGrid w:val="0"/>
        <w:ind w:firstLine="0" w:firstLineChars="0"/>
        <w:outlineLvl w:val="2"/>
        <w:rPr>
          <w:rFonts w:ascii="仿宋" w:hAnsi="仿宋" w:eastAsia="仿宋" w:cs="仿宋"/>
          <w:b/>
          <w:bCs/>
          <w:sz w:val="24"/>
          <w:szCs w:val="24"/>
        </w:rPr>
      </w:pPr>
    </w:p>
    <w:p w14:paraId="6A8FA559">
      <w:pPr>
        <w:widowControl/>
        <w:adjustRightInd w:val="0"/>
        <w:snapToGrid w:val="0"/>
        <w:ind w:firstLine="0" w:firstLineChars="0"/>
        <w:outlineLvl w:val="2"/>
        <w:rPr>
          <w:rFonts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附件1：</w:t>
      </w:r>
    </w:p>
    <w:p w14:paraId="23C73D1F">
      <w:pPr>
        <w:widowControl/>
        <w:adjustRightInd w:val="0"/>
        <w:snapToGrid w:val="0"/>
        <w:ind w:firstLine="482"/>
        <w:jc w:val="center"/>
        <w:outlineLvl w:val="2"/>
        <w:rPr>
          <w:rFonts w:ascii="仿宋" w:hAnsi="仿宋" w:eastAsia="仿宋" w:cs="仿宋"/>
          <w:sz w:val="24"/>
          <w:szCs w:val="24"/>
        </w:rPr>
      </w:pPr>
      <w:r>
        <w:rPr>
          <w:rFonts w:hint="eastAsia" w:ascii="仿宋" w:hAnsi="仿宋" w:eastAsia="仿宋" w:cs="仿宋"/>
          <w:b/>
          <w:bCs/>
          <w:sz w:val="24"/>
          <w:szCs w:val="24"/>
        </w:rPr>
        <w:t>供应商资格承诺函</w:t>
      </w:r>
    </w:p>
    <w:p w14:paraId="2D80966B">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致</w:t>
      </w:r>
      <w:r>
        <w:rPr>
          <w:rFonts w:hint="eastAsia" w:ascii="仿宋" w:hAnsi="仿宋" w:eastAsia="仿宋" w:cs="仿宋"/>
          <w:szCs w:val="24"/>
          <w:u w:val="single"/>
          <w:lang w:bidi="ar"/>
        </w:rPr>
        <w:t>（采购人名称）</w:t>
      </w:r>
      <w:r>
        <w:rPr>
          <w:rFonts w:hint="eastAsia" w:ascii="仿宋" w:hAnsi="仿宋" w:eastAsia="仿宋" w:cs="仿宋"/>
          <w:szCs w:val="24"/>
          <w:lang w:bidi="ar"/>
        </w:rPr>
        <w:t>：</w:t>
      </w:r>
    </w:p>
    <w:p w14:paraId="39175DA4">
      <w:pPr>
        <w:ind w:firstLine="480"/>
        <w:rPr>
          <w:rFonts w:ascii="仿宋" w:hAnsi="仿宋" w:eastAsia="仿宋" w:cs="仿宋"/>
          <w:sz w:val="24"/>
          <w:szCs w:val="24"/>
        </w:rPr>
      </w:pPr>
      <w:r>
        <w:rPr>
          <w:rFonts w:hint="eastAsia" w:ascii="仿宋" w:hAnsi="仿宋" w:eastAsia="仿宋" w:cs="仿宋"/>
          <w:sz w:val="24"/>
          <w:szCs w:val="24"/>
        </w:rPr>
        <w:t>我公司郑重作出以下承诺：</w:t>
      </w:r>
    </w:p>
    <w:p w14:paraId="50701D17">
      <w:pPr>
        <w:ind w:firstLine="48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我司</w:t>
      </w:r>
      <w:r>
        <w:rPr>
          <w:rFonts w:hint="eastAsia" w:ascii="仿宋" w:hAnsi="仿宋" w:eastAsia="仿宋" w:cs="仿宋"/>
          <w:sz w:val="24"/>
          <w:szCs w:val="24"/>
        </w:rPr>
        <w:t>具有履行合同</w:t>
      </w:r>
      <w:r>
        <w:rPr>
          <w:rStyle w:val="71"/>
          <w:rFonts w:hint="eastAsia" w:ascii="仿宋" w:hAnsi="仿宋" w:eastAsia="仿宋" w:cs="仿宋"/>
          <w:sz w:val="24"/>
          <w:szCs w:val="24"/>
        </w:rPr>
        <w:t>所必需的设备和专业技术能力</w:t>
      </w:r>
      <w:r>
        <w:rPr>
          <w:rFonts w:hint="eastAsia" w:ascii="仿宋" w:hAnsi="仿宋" w:eastAsia="仿宋" w:cs="仿宋"/>
          <w:sz w:val="24"/>
          <w:szCs w:val="24"/>
        </w:rPr>
        <w:t>。</w:t>
      </w:r>
    </w:p>
    <w:p w14:paraId="7818E441">
      <w:pPr>
        <w:ind w:firstLine="480"/>
        <w:rPr>
          <w:rFonts w:ascii="仿宋" w:hAnsi="仿宋" w:eastAsia="仿宋" w:cs="仿宋"/>
          <w:sz w:val="24"/>
          <w:szCs w:val="24"/>
        </w:rPr>
      </w:pPr>
      <w:r>
        <w:rPr>
          <w:rFonts w:hint="eastAsia" w:ascii="仿宋" w:hAnsi="仿宋" w:eastAsia="仿宋" w:cs="仿宋"/>
          <w:sz w:val="24"/>
          <w:szCs w:val="24"/>
        </w:rPr>
        <w:t>2.我司近三年（2022年1月1日至今）未发生过一般及以上质量或安全事故。</w:t>
      </w:r>
    </w:p>
    <w:p w14:paraId="6DF976D7">
      <w:pPr>
        <w:ind w:firstLine="480"/>
        <w:rPr>
          <w:rFonts w:ascii="仿宋" w:hAnsi="仿宋" w:eastAsia="仿宋" w:cs="仿宋"/>
          <w:sz w:val="24"/>
          <w:szCs w:val="24"/>
        </w:rPr>
      </w:pPr>
      <w:r>
        <w:rPr>
          <w:rFonts w:hint="eastAsia" w:ascii="仿宋" w:hAnsi="仿宋" w:eastAsia="仿宋" w:cs="仿宋"/>
          <w:sz w:val="24"/>
          <w:szCs w:val="24"/>
        </w:rPr>
        <w:t>3.我司单位负责人为同一人或存在控股、管理关系的关联单位未同时参与本项目询比。</w:t>
      </w:r>
    </w:p>
    <w:p w14:paraId="1650FF3C">
      <w:pPr>
        <w:ind w:firstLine="480"/>
        <w:rPr>
          <w:rFonts w:ascii="仿宋" w:hAnsi="仿宋" w:eastAsia="仿宋" w:cs="仿宋"/>
          <w:sz w:val="24"/>
          <w:szCs w:val="24"/>
        </w:rPr>
      </w:pPr>
      <w:r>
        <w:rPr>
          <w:rFonts w:hint="eastAsia" w:ascii="仿宋" w:hAnsi="仿宋" w:eastAsia="仿宋" w:cs="仿宋"/>
          <w:sz w:val="24"/>
          <w:szCs w:val="24"/>
        </w:rPr>
        <w:t>4.我司未被责令停业，未被暂扣或未被吊销执照，不存在吊销资质证书，执照、资质证书过期的情形及不存在引起执照、资质证书变更的事项而未变更执照、资质证书的情形。</w:t>
      </w:r>
    </w:p>
    <w:p w14:paraId="3C5C4E47">
      <w:pPr>
        <w:wordWrap w:val="0"/>
        <w:ind w:firstLine="480"/>
        <w:rPr>
          <w:rFonts w:ascii="仿宋" w:hAnsi="仿宋" w:eastAsia="仿宋" w:cs="仿宋"/>
          <w:sz w:val="24"/>
          <w:szCs w:val="24"/>
        </w:rPr>
      </w:pPr>
      <w:r>
        <w:rPr>
          <w:rFonts w:hint="eastAsia" w:ascii="仿宋" w:hAnsi="仿宋" w:eastAsia="仿宋" w:cs="仿宋"/>
          <w:sz w:val="24"/>
          <w:szCs w:val="24"/>
        </w:rPr>
        <w:t>5.我司未进入清算程序，未被宣告破产，不存在其他丧失履约能力的情形。</w:t>
      </w:r>
    </w:p>
    <w:p w14:paraId="3C33DD73">
      <w:pPr>
        <w:wordWrap w:val="0"/>
        <w:ind w:firstLine="480"/>
        <w:rPr>
          <w:rFonts w:ascii="仿宋" w:hAnsi="仿宋" w:eastAsia="仿宋" w:cs="仿宋"/>
          <w:sz w:val="24"/>
          <w:szCs w:val="24"/>
        </w:rPr>
      </w:pPr>
      <w:r>
        <w:rPr>
          <w:rFonts w:hint="eastAsia" w:ascii="仿宋" w:hAnsi="仿宋" w:eastAsia="仿宋" w:cs="仿宋"/>
          <w:sz w:val="24"/>
          <w:szCs w:val="24"/>
        </w:rPr>
        <w:t>6.我司不存在被国家企业信用信息公示系统（http://www.gsxt.gov.cn/）中列入严重违法失信企业名单的情形。</w:t>
      </w:r>
    </w:p>
    <w:p w14:paraId="2CC34E95">
      <w:pPr>
        <w:widowControl/>
        <w:wordWrap w:val="0"/>
        <w:ind w:firstLine="480"/>
        <w:rPr>
          <w:rFonts w:ascii="仿宋" w:hAnsi="仿宋" w:eastAsia="仿宋" w:cs="仿宋"/>
          <w:sz w:val="24"/>
          <w:szCs w:val="24"/>
        </w:rPr>
      </w:pPr>
      <w:r>
        <w:rPr>
          <w:rFonts w:hint="eastAsia" w:ascii="仿宋" w:hAnsi="仿宋" w:eastAsia="仿宋" w:cs="仿宋"/>
          <w:sz w:val="24"/>
          <w:szCs w:val="24"/>
        </w:rPr>
        <w:t>7.我司不存在被中国执行信息公开网（http://zxgk.court.gov.cn/）中列入失信被执行人名单。</w:t>
      </w:r>
    </w:p>
    <w:p w14:paraId="5BAA80BF">
      <w:pPr>
        <w:ind w:firstLine="480"/>
        <w:rPr>
          <w:rFonts w:ascii="仿宋" w:hAnsi="仿宋" w:eastAsia="仿宋" w:cs="仿宋"/>
          <w:sz w:val="24"/>
          <w:szCs w:val="24"/>
        </w:rPr>
      </w:pPr>
      <w:r>
        <w:rPr>
          <w:rFonts w:hint="eastAsia" w:ascii="仿宋" w:hAnsi="仿宋" w:eastAsia="仿宋" w:cs="仿宋"/>
          <w:sz w:val="24"/>
          <w:szCs w:val="24"/>
        </w:rPr>
        <w:t>8.我司及其法定代表人在近5年（2020年1月1日至今）无行贿犯罪行为。</w:t>
      </w:r>
    </w:p>
    <w:p w14:paraId="3719F854">
      <w:pPr>
        <w:ind w:firstLine="480"/>
        <w:rPr>
          <w:rFonts w:ascii="仿宋" w:hAnsi="仿宋" w:eastAsia="仿宋" w:cs="仿宋"/>
          <w:sz w:val="24"/>
          <w:szCs w:val="24"/>
        </w:rPr>
      </w:pPr>
      <w:r>
        <w:rPr>
          <w:rFonts w:hint="eastAsia" w:ascii="仿宋" w:hAnsi="仿宋" w:eastAsia="仿宋" w:cs="仿宋"/>
          <w:sz w:val="24"/>
          <w:szCs w:val="24"/>
        </w:rPr>
        <w:t>9.如我司有幸成交本项目，将</w:t>
      </w:r>
      <w:r>
        <w:rPr>
          <w:rFonts w:hint="eastAsia" w:ascii="仿宋" w:hAnsi="仿宋" w:eastAsia="仿宋" w:cs="仿宋"/>
          <w:sz w:val="24"/>
          <w:szCs w:val="24"/>
          <w:u w:val="single"/>
        </w:rPr>
        <w:t>不进行分包、转包</w:t>
      </w:r>
      <w:r>
        <w:rPr>
          <w:rFonts w:hint="eastAsia" w:ascii="仿宋" w:hAnsi="仿宋" w:eastAsia="仿宋" w:cs="仿宋"/>
          <w:sz w:val="24"/>
          <w:szCs w:val="24"/>
        </w:rPr>
        <w:t>。</w:t>
      </w:r>
    </w:p>
    <w:p w14:paraId="7A58794A">
      <w:pPr>
        <w:pStyle w:val="88"/>
        <w:ind w:firstLine="480"/>
        <w:rPr>
          <w:rFonts w:ascii="仿宋" w:hAnsi="仿宋" w:eastAsia="仿宋" w:cs="仿宋"/>
          <w:sz w:val="24"/>
          <w:szCs w:val="24"/>
        </w:rPr>
      </w:pPr>
      <w:r>
        <w:rPr>
          <w:rFonts w:hint="eastAsia" w:ascii="仿宋" w:hAnsi="仿宋" w:eastAsia="仿宋" w:cs="仿宋"/>
          <w:sz w:val="24"/>
          <w:szCs w:val="24"/>
        </w:rPr>
        <w:t>10.我司非联合体响应。</w:t>
      </w:r>
    </w:p>
    <w:p w14:paraId="2F3216BA">
      <w:pPr>
        <w:pStyle w:val="88"/>
        <w:ind w:firstLine="480"/>
        <w:rPr>
          <w:rFonts w:ascii="仿宋" w:hAnsi="仿宋" w:eastAsia="仿宋" w:cs="仿宋"/>
          <w:sz w:val="24"/>
          <w:szCs w:val="24"/>
        </w:rPr>
      </w:pPr>
      <w:r>
        <w:rPr>
          <w:rFonts w:hint="eastAsia" w:ascii="仿宋" w:hAnsi="仿宋" w:eastAsia="仿宋" w:cs="仿宋"/>
          <w:sz w:val="24"/>
          <w:szCs w:val="24"/>
        </w:rPr>
        <w:t>11、我司响应的办公电子设备中无</w:t>
      </w:r>
      <w:bookmarkStart w:id="161" w:name="_Hlk204008897"/>
      <w:r>
        <w:rPr>
          <w:rFonts w:hint="eastAsia" w:ascii="仿宋" w:hAnsi="仿宋" w:eastAsia="仿宋" w:cs="仿宋"/>
          <w:sz w:val="24"/>
          <w:szCs w:val="24"/>
        </w:rPr>
        <w:t>二手、退货等残次产品</w:t>
      </w:r>
      <w:bookmarkEnd w:id="161"/>
      <w:r>
        <w:rPr>
          <w:rFonts w:hint="eastAsia" w:ascii="仿宋" w:hAnsi="仿宋" w:eastAsia="仿宋" w:cs="仿宋"/>
          <w:sz w:val="24"/>
          <w:szCs w:val="24"/>
        </w:rPr>
        <w:t>。</w:t>
      </w:r>
    </w:p>
    <w:p w14:paraId="2F9EA760">
      <w:pPr>
        <w:widowControl/>
        <w:ind w:firstLine="480"/>
        <w:rPr>
          <w:rFonts w:ascii="仿宋" w:hAnsi="仿宋" w:eastAsia="仿宋" w:cs="仿宋"/>
          <w:sz w:val="24"/>
          <w:szCs w:val="24"/>
        </w:rPr>
      </w:pPr>
      <w:r>
        <w:rPr>
          <w:rFonts w:hint="eastAsia" w:ascii="仿宋" w:hAnsi="仿宋" w:eastAsia="仿宋" w:cs="仿宋"/>
          <w:kern w:val="0"/>
          <w:sz w:val="24"/>
          <w:szCs w:val="24"/>
          <w:lang w:bidi="ar"/>
        </w:rPr>
        <w:t xml:space="preserve">如上述承诺不实，将承担由此产生的全部责任。 </w:t>
      </w:r>
    </w:p>
    <w:p w14:paraId="7487E47D">
      <w:pPr>
        <w:pStyle w:val="88"/>
        <w:ind w:firstLine="480"/>
        <w:rPr>
          <w:rFonts w:ascii="仿宋" w:hAnsi="仿宋" w:eastAsia="仿宋" w:cs="仿宋"/>
          <w:sz w:val="24"/>
          <w:szCs w:val="24"/>
        </w:rPr>
      </w:pPr>
    </w:p>
    <w:p w14:paraId="1C558EB7">
      <w:pPr>
        <w:widowControl/>
        <w:adjustRightInd w:val="0"/>
        <w:snapToGrid w:val="0"/>
        <w:ind w:firstLine="480"/>
        <w:rPr>
          <w:rFonts w:ascii="仿宋" w:hAnsi="仿宋" w:eastAsia="仿宋" w:cs="仿宋"/>
          <w:kern w:val="1"/>
          <w:sz w:val="24"/>
          <w:szCs w:val="24"/>
        </w:rPr>
      </w:pPr>
      <w:r>
        <w:rPr>
          <w:rFonts w:hint="eastAsia" w:ascii="仿宋" w:hAnsi="仿宋" w:eastAsia="仿宋" w:cs="仿宋"/>
          <w:kern w:val="1"/>
          <w:sz w:val="24"/>
          <w:szCs w:val="24"/>
        </w:rPr>
        <w:t xml:space="preserve">   </w:t>
      </w:r>
    </w:p>
    <w:p w14:paraId="1950CD56">
      <w:pPr>
        <w:widowControl/>
        <w:adjustRightInd w:val="0"/>
        <w:snapToGrid w:val="0"/>
        <w:ind w:firstLine="480"/>
        <w:jc w:val="right"/>
        <w:rPr>
          <w:rFonts w:ascii="仿宋" w:hAnsi="仿宋" w:eastAsia="仿宋" w:cs="仿宋"/>
          <w:bCs/>
          <w:sz w:val="24"/>
          <w:szCs w:val="24"/>
        </w:rPr>
      </w:pPr>
      <w:r>
        <w:rPr>
          <w:rFonts w:hint="eastAsia" w:ascii="仿宋" w:hAnsi="仿宋" w:eastAsia="仿宋" w:cs="仿宋"/>
          <w:bCs/>
          <w:sz w:val="24"/>
          <w:szCs w:val="24"/>
        </w:rPr>
        <w:t>询比供应商名称：</w:t>
      </w:r>
      <w:r>
        <w:rPr>
          <w:rFonts w:hint="eastAsia" w:ascii="仿宋" w:hAnsi="仿宋" w:eastAsia="仿宋" w:cs="仿宋"/>
          <w:bCs/>
          <w:sz w:val="24"/>
          <w:szCs w:val="24"/>
          <w:u w:val="single"/>
        </w:rPr>
        <w:t xml:space="preserve">                （单位盖章） </w:t>
      </w:r>
      <w:r>
        <w:rPr>
          <w:rFonts w:hint="eastAsia" w:ascii="仿宋" w:hAnsi="仿宋" w:eastAsia="仿宋" w:cs="仿宋"/>
          <w:bCs/>
          <w:sz w:val="24"/>
          <w:szCs w:val="24"/>
        </w:rPr>
        <w:t xml:space="preserve">     </w:t>
      </w:r>
    </w:p>
    <w:p w14:paraId="4BE22153">
      <w:pPr>
        <w:widowControl/>
        <w:adjustRightInd w:val="0"/>
        <w:snapToGrid w:val="0"/>
        <w:ind w:firstLine="480"/>
        <w:rPr>
          <w:rFonts w:ascii="仿宋" w:hAnsi="仿宋" w:eastAsia="仿宋" w:cs="仿宋"/>
          <w:bCs/>
          <w:sz w:val="24"/>
          <w:szCs w:val="24"/>
        </w:rPr>
      </w:pPr>
    </w:p>
    <w:p w14:paraId="3D255920">
      <w:pPr>
        <w:widowControl/>
        <w:adjustRightInd w:val="0"/>
        <w:snapToGrid w:val="0"/>
        <w:ind w:firstLine="480"/>
        <w:rPr>
          <w:rFonts w:ascii="仿宋" w:hAnsi="仿宋" w:eastAsia="仿宋" w:cs="仿宋"/>
          <w:bCs/>
          <w:sz w:val="24"/>
          <w:szCs w:val="24"/>
        </w:rPr>
      </w:pPr>
      <w:r>
        <w:rPr>
          <w:rFonts w:hint="eastAsia" w:ascii="仿宋" w:hAnsi="仿宋" w:eastAsia="仿宋" w:cs="仿宋"/>
          <w:bCs/>
          <w:sz w:val="24"/>
          <w:szCs w:val="24"/>
        </w:rPr>
        <w:t xml:space="preserve">                                   日      期：    年    月    日</w:t>
      </w:r>
    </w:p>
    <w:p w14:paraId="5CD8F0A6">
      <w:pPr>
        <w:widowControl/>
        <w:ind w:firstLine="482"/>
        <w:rPr>
          <w:rFonts w:ascii="仿宋" w:hAnsi="仿宋" w:eastAsia="仿宋" w:cs="仿宋"/>
          <w:sz w:val="24"/>
          <w:szCs w:val="24"/>
        </w:rPr>
      </w:pPr>
      <w:r>
        <w:rPr>
          <w:rFonts w:hint="eastAsia" w:ascii="仿宋" w:hAnsi="仿宋" w:eastAsia="仿宋" w:cs="仿宋"/>
          <w:b/>
          <w:bCs/>
          <w:kern w:val="0"/>
          <w:sz w:val="24"/>
          <w:szCs w:val="24"/>
          <w:lang w:bidi="ar"/>
        </w:rPr>
        <w:t>注：询比供应商可视自身情况酌情扩充。</w:t>
      </w:r>
    </w:p>
    <w:p w14:paraId="0994E9D9">
      <w:pPr>
        <w:ind w:firstLine="0" w:firstLineChars="0"/>
        <w:jc w:val="center"/>
        <w:outlineLvl w:val="2"/>
        <w:rPr>
          <w:rFonts w:ascii="仿宋" w:hAnsi="仿宋" w:eastAsia="仿宋" w:cs="仿宋"/>
          <w:b/>
          <w:bCs/>
          <w:sz w:val="24"/>
          <w:szCs w:val="24"/>
        </w:rPr>
      </w:pPr>
      <w:bookmarkStart w:id="162" w:name="_Toc1128"/>
    </w:p>
    <w:p w14:paraId="30DBDFA2">
      <w:pPr>
        <w:ind w:firstLine="0" w:firstLineChars="0"/>
        <w:jc w:val="center"/>
        <w:outlineLvl w:val="2"/>
        <w:rPr>
          <w:rFonts w:ascii="仿宋" w:hAnsi="仿宋" w:eastAsia="仿宋" w:cs="仿宋"/>
          <w:b/>
          <w:bCs/>
          <w:sz w:val="24"/>
          <w:szCs w:val="24"/>
        </w:rPr>
      </w:pPr>
    </w:p>
    <w:p w14:paraId="7E1F0D5C">
      <w:pPr>
        <w:pStyle w:val="94"/>
        <w:snapToGrid w:val="0"/>
        <w:spacing w:before="0" w:after="0" w:line="600" w:lineRule="exact"/>
        <w:ind w:firstLine="803"/>
        <w:jc w:val="center"/>
        <w:rPr>
          <w:rFonts w:ascii="仿宋" w:hAnsi="仿宋" w:eastAsia="仿宋" w:cs="仿宋"/>
          <w:b/>
          <w:bCs/>
          <w:sz w:val="40"/>
          <w:szCs w:val="40"/>
        </w:rPr>
      </w:pPr>
    </w:p>
    <w:p w14:paraId="78915476">
      <w:pPr>
        <w:widowControl/>
        <w:adjustRightInd w:val="0"/>
        <w:snapToGrid w:val="0"/>
        <w:ind w:firstLine="0" w:firstLineChars="0"/>
        <w:outlineLvl w:val="2"/>
        <w:rPr>
          <w:rFonts w:ascii="仿宋" w:hAnsi="仿宋" w:eastAsia="仿宋" w:cs="仿宋"/>
          <w:b/>
          <w:bCs/>
          <w:sz w:val="24"/>
          <w:szCs w:val="24"/>
        </w:rPr>
      </w:pPr>
      <w:r>
        <w:rPr>
          <w:rFonts w:hint="eastAsia" w:ascii="仿宋" w:hAnsi="仿宋" w:eastAsia="仿宋" w:cs="仿宋"/>
          <w:b/>
          <w:bCs/>
          <w:sz w:val="24"/>
          <w:szCs w:val="24"/>
        </w:rPr>
        <w:t>附件2：</w:t>
      </w:r>
    </w:p>
    <w:p w14:paraId="7A6235C4">
      <w:pPr>
        <w:pStyle w:val="11"/>
        <w:ind w:firstLine="482"/>
        <w:rPr>
          <w:rFonts w:hint="default" w:eastAsia="仿宋"/>
        </w:rPr>
      </w:pPr>
      <w:r>
        <w:rPr>
          <w:rFonts w:ascii="仿宋" w:hAnsi="仿宋" w:eastAsia="仿宋" w:cs="仿宋"/>
          <w:b/>
          <w:bCs/>
        </w:rPr>
        <w:t>国家企业信用信息公示系统（http://www.gsxt.gov.cn/）查询截图样式</w:t>
      </w:r>
    </w:p>
    <w:p w14:paraId="24B586A2">
      <w:pPr>
        <w:ind w:firstLine="0" w:firstLineChars="0"/>
        <w:jc w:val="center"/>
        <w:outlineLvl w:val="2"/>
      </w:pPr>
      <w:r>
        <w:rPr>
          <w:rFonts w:hint="eastAsia" w:ascii="仿宋" w:hAnsi="仿宋" w:eastAsia="仿宋" w:cs="仿宋"/>
          <w:b/>
          <w:bCs/>
          <w:sz w:val="24"/>
          <w:szCs w:val="24"/>
        </w:rPr>
        <w:drawing>
          <wp:inline distT="0" distB="0" distL="0" distR="0">
            <wp:extent cx="5720715" cy="2860040"/>
            <wp:effectExtent l="0" t="0" r="0" b="0"/>
            <wp:docPr id="1" name="图片 3" descr="0c2d02344ffb7e1b83904fe19ef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0c2d02344ffb7e1b83904fe19ef63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20715" cy="2860040"/>
                    </a:xfrm>
                    <a:prstGeom prst="rect">
                      <a:avLst/>
                    </a:prstGeom>
                    <a:noFill/>
                    <a:ln>
                      <a:noFill/>
                    </a:ln>
                  </pic:spPr>
                </pic:pic>
              </a:graphicData>
            </a:graphic>
          </wp:inline>
        </w:drawing>
      </w:r>
    </w:p>
    <w:p w14:paraId="62FAB404">
      <w:pPr>
        <w:pStyle w:val="11"/>
        <w:ind w:firstLine="482"/>
        <w:rPr>
          <w:rFonts w:hint="default" w:eastAsia="宋体"/>
        </w:rPr>
        <w:sectPr>
          <w:footerReference r:id="rId14" w:type="default"/>
          <w:pgSz w:w="11906" w:h="16838"/>
          <w:pgMar w:top="1440" w:right="1800" w:bottom="1440" w:left="1800" w:header="851" w:footer="992" w:gutter="0"/>
          <w:cols w:space="720" w:num="1"/>
          <w:docGrid w:type="lines" w:linePitch="312" w:charSpace="0"/>
        </w:sectPr>
      </w:pPr>
      <w:r>
        <w:rPr>
          <w:rFonts w:ascii="仿宋" w:hAnsi="仿宋" w:eastAsia="仿宋" w:cs="仿宋"/>
          <w:b/>
          <w:bCs/>
        </w:rPr>
        <w:t>中国执行信息公开网（http://zxgk.court.gov.cn/）查询截图样式</w:t>
      </w:r>
      <w:r>
        <w:rPr>
          <w:rFonts w:eastAsia="宋体"/>
        </w:rPr>
        <w:tab/>
      </w:r>
      <w:r>
        <w:rPr>
          <w:rFonts w:eastAsia="宋体"/>
        </w:rPr>
        <w:tab/>
      </w:r>
      <w:r>
        <w:rPr>
          <w:rFonts w:eastAsia="宋体"/>
        </w:rPr>
        <w:drawing>
          <wp:inline distT="0" distB="0" distL="0" distR="0">
            <wp:extent cx="5749925" cy="2915920"/>
            <wp:effectExtent l="0" t="0" r="0" b="0"/>
            <wp:docPr id="2" name="图片 6" descr="52bbb9143769217dc07d3c715b4e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52bbb9143769217dc07d3c715b4e6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49925" cy="2915920"/>
                    </a:xfrm>
                    <a:prstGeom prst="rect">
                      <a:avLst/>
                    </a:prstGeom>
                    <a:noFill/>
                    <a:ln>
                      <a:noFill/>
                    </a:ln>
                    <a:effectLst/>
                  </pic:spPr>
                </pic:pic>
              </a:graphicData>
            </a:graphic>
          </wp:inline>
        </w:drawing>
      </w:r>
    </w:p>
    <w:p w14:paraId="46D8DC03">
      <w:pPr>
        <w:ind w:firstLine="0" w:firstLineChars="0"/>
        <w:jc w:val="center"/>
        <w:outlineLvl w:val="2"/>
        <w:rPr>
          <w:rFonts w:ascii="仿宋" w:hAnsi="仿宋" w:eastAsia="仿宋" w:cs="仿宋"/>
          <w:b/>
          <w:bCs/>
          <w:sz w:val="24"/>
          <w:szCs w:val="24"/>
        </w:rPr>
      </w:pPr>
      <w:r>
        <w:rPr>
          <w:rFonts w:hint="eastAsia" w:ascii="仿宋" w:hAnsi="仿宋" w:eastAsia="仿宋" w:cs="仿宋"/>
          <w:b/>
          <w:bCs/>
          <w:sz w:val="24"/>
          <w:szCs w:val="24"/>
        </w:rPr>
        <w:t>3.供应商须承诺完全响应询比文件“第三部分 采购内容及要求”所有要求。</w:t>
      </w:r>
      <w:bookmarkEnd w:id="162"/>
    </w:p>
    <w:p w14:paraId="087D41C6">
      <w:pPr>
        <w:spacing w:line="600" w:lineRule="exact"/>
        <w:ind w:firstLine="0" w:firstLineChars="0"/>
        <w:jc w:val="center"/>
        <w:outlineLvl w:val="3"/>
        <w:rPr>
          <w:rFonts w:ascii="仿宋" w:hAnsi="仿宋" w:eastAsia="仿宋" w:cs="仿宋"/>
          <w:b/>
          <w:bCs/>
          <w:sz w:val="24"/>
          <w:szCs w:val="24"/>
        </w:rPr>
      </w:pPr>
    </w:p>
    <w:p w14:paraId="485104DF">
      <w:pPr>
        <w:spacing w:line="600" w:lineRule="exact"/>
        <w:ind w:firstLine="0" w:firstLineChars="0"/>
        <w:jc w:val="center"/>
        <w:outlineLvl w:val="3"/>
        <w:rPr>
          <w:rFonts w:ascii="仿宋" w:hAnsi="仿宋" w:eastAsia="仿宋" w:cs="仿宋"/>
          <w:b/>
          <w:bCs/>
          <w:sz w:val="24"/>
          <w:szCs w:val="24"/>
        </w:rPr>
      </w:pPr>
      <w:r>
        <w:rPr>
          <w:rFonts w:hint="eastAsia" w:ascii="仿宋" w:hAnsi="仿宋" w:eastAsia="仿宋" w:cs="仿宋"/>
          <w:b/>
          <w:bCs/>
          <w:sz w:val="24"/>
          <w:szCs w:val="24"/>
        </w:rPr>
        <w:t>完全响应询比文件“第三部分 采购内容及要求”所有要求的承诺（仅供参考）</w:t>
      </w:r>
    </w:p>
    <w:p w14:paraId="6734C4D6">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致</w:t>
      </w:r>
      <w:r>
        <w:rPr>
          <w:rFonts w:hint="eastAsia" w:ascii="仿宋" w:hAnsi="仿宋" w:eastAsia="仿宋" w:cs="仿宋"/>
          <w:szCs w:val="24"/>
          <w:u w:val="single"/>
          <w:lang w:bidi="ar"/>
        </w:rPr>
        <w:t>（采购人名称）</w:t>
      </w:r>
      <w:r>
        <w:rPr>
          <w:rFonts w:hint="eastAsia" w:ascii="仿宋" w:hAnsi="仿宋" w:eastAsia="仿宋" w:cs="仿宋"/>
          <w:szCs w:val="24"/>
          <w:lang w:bidi="ar"/>
        </w:rPr>
        <w:t>：</w:t>
      </w:r>
    </w:p>
    <w:p w14:paraId="6E70402C">
      <w:pPr>
        <w:spacing w:line="600" w:lineRule="exact"/>
        <w:ind w:firstLine="480"/>
        <w:rPr>
          <w:rFonts w:ascii="仿宋" w:hAnsi="仿宋" w:eastAsia="仿宋" w:cs="仿宋"/>
          <w:sz w:val="24"/>
          <w:szCs w:val="24"/>
        </w:rPr>
      </w:pPr>
      <w:r>
        <w:rPr>
          <w:rFonts w:hint="eastAsia" w:ascii="仿宋" w:hAnsi="仿宋" w:eastAsia="仿宋" w:cs="仿宋"/>
          <w:sz w:val="24"/>
          <w:szCs w:val="24"/>
        </w:rPr>
        <w:t>我司承诺完全响应询比文件“第三部分 采购内容及要求”所有要求，如有不实，我司愿自行承担相关法律责任。</w:t>
      </w:r>
    </w:p>
    <w:p w14:paraId="635AD08B">
      <w:pPr>
        <w:spacing w:line="600" w:lineRule="exact"/>
        <w:ind w:firstLine="0" w:firstLineChars="0"/>
        <w:rPr>
          <w:rFonts w:ascii="仿宋" w:hAnsi="仿宋" w:eastAsia="仿宋" w:cs="仿宋"/>
          <w:sz w:val="24"/>
          <w:szCs w:val="24"/>
        </w:rPr>
      </w:pPr>
    </w:p>
    <w:p w14:paraId="2DFF4860">
      <w:pPr>
        <w:spacing w:line="600" w:lineRule="exact"/>
        <w:ind w:firstLine="0" w:firstLineChars="0"/>
        <w:jc w:val="right"/>
        <w:rPr>
          <w:rFonts w:ascii="仿宋" w:hAnsi="仿宋" w:eastAsia="仿宋" w:cs="仿宋"/>
          <w:sz w:val="24"/>
          <w:szCs w:val="24"/>
        </w:rPr>
      </w:pPr>
      <w:r>
        <w:rPr>
          <w:rFonts w:hint="eastAsia" w:ascii="仿宋" w:hAnsi="仿宋" w:eastAsia="仿宋" w:cs="仿宋"/>
          <w:sz w:val="24"/>
          <w:szCs w:val="24"/>
        </w:rPr>
        <w:t>询比供应商名称：（单位盖章）</w:t>
      </w:r>
    </w:p>
    <w:p w14:paraId="35886996">
      <w:pPr>
        <w:spacing w:line="600" w:lineRule="exact"/>
        <w:ind w:firstLine="0" w:firstLineChars="0"/>
        <w:jc w:val="right"/>
        <w:rPr>
          <w:rFonts w:ascii="仿宋" w:hAnsi="仿宋" w:eastAsia="仿宋" w:cs="仿宋"/>
          <w:sz w:val="24"/>
          <w:szCs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4"/>
          <w:szCs w:val="24"/>
        </w:rPr>
        <w:t>日期：年月日</w:t>
      </w:r>
    </w:p>
    <w:p w14:paraId="4D4769BF">
      <w:pPr>
        <w:widowControl/>
        <w:adjustRightInd w:val="0"/>
        <w:snapToGrid w:val="0"/>
        <w:ind w:firstLine="0" w:firstLineChars="0"/>
        <w:jc w:val="center"/>
        <w:outlineLvl w:val="2"/>
        <w:rPr>
          <w:rFonts w:ascii="仿宋" w:hAnsi="仿宋" w:eastAsia="仿宋" w:cs="仿宋"/>
          <w:b/>
          <w:sz w:val="24"/>
          <w:szCs w:val="24"/>
          <w:lang w:bidi="ar"/>
        </w:rPr>
      </w:pPr>
      <w:bookmarkStart w:id="163" w:name="_Toc25076"/>
      <w:r>
        <w:rPr>
          <w:rFonts w:hint="eastAsia" w:ascii="仿宋" w:hAnsi="仿宋" w:eastAsia="仿宋" w:cs="仿宋"/>
          <w:b/>
          <w:bCs/>
          <w:sz w:val="24"/>
          <w:szCs w:val="24"/>
        </w:rPr>
        <w:t>4.法定代表人授权委托书、法定代表人身份证明</w:t>
      </w:r>
      <w:bookmarkEnd w:id="158"/>
      <w:bookmarkEnd w:id="159"/>
      <w:bookmarkEnd w:id="160"/>
      <w:bookmarkEnd w:id="163"/>
    </w:p>
    <w:p w14:paraId="47B09E73">
      <w:pPr>
        <w:ind w:firstLine="480"/>
        <w:rPr>
          <w:rFonts w:ascii="仿宋" w:hAnsi="仿宋" w:eastAsia="仿宋" w:cs="仿宋"/>
          <w:sz w:val="24"/>
          <w:szCs w:val="24"/>
        </w:rPr>
      </w:pPr>
    </w:p>
    <w:p w14:paraId="5DBB885A">
      <w:pPr>
        <w:ind w:firstLine="0" w:firstLineChars="0"/>
        <w:jc w:val="center"/>
        <w:outlineLvl w:val="3"/>
        <w:rPr>
          <w:rFonts w:ascii="仿宋" w:hAnsi="仿宋" w:eastAsia="仿宋" w:cs="仿宋"/>
          <w:b/>
          <w:bCs/>
          <w:sz w:val="24"/>
          <w:szCs w:val="24"/>
        </w:rPr>
      </w:pPr>
      <w:bookmarkStart w:id="164" w:name="_Toc3541"/>
      <w:bookmarkStart w:id="165" w:name="_Toc15728"/>
      <w:bookmarkStart w:id="166" w:name="_Toc11584"/>
      <w:bookmarkStart w:id="167" w:name="_Toc28358"/>
      <w:bookmarkStart w:id="168" w:name="_Toc23575"/>
      <w:bookmarkStart w:id="169" w:name="_Toc13964"/>
      <w:r>
        <w:rPr>
          <w:rFonts w:hint="eastAsia" w:ascii="仿宋" w:hAnsi="仿宋" w:eastAsia="仿宋" w:cs="仿宋"/>
          <w:b/>
          <w:bCs/>
          <w:sz w:val="24"/>
          <w:szCs w:val="24"/>
        </w:rPr>
        <w:t>法定代表人授权委托书</w:t>
      </w:r>
      <w:bookmarkEnd w:id="164"/>
      <w:bookmarkEnd w:id="165"/>
      <w:bookmarkEnd w:id="166"/>
      <w:bookmarkEnd w:id="167"/>
      <w:bookmarkEnd w:id="168"/>
      <w:bookmarkEnd w:id="169"/>
    </w:p>
    <w:p w14:paraId="7E6AD815">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致</w:t>
      </w:r>
      <w:r>
        <w:rPr>
          <w:rFonts w:hint="eastAsia" w:ascii="仿宋" w:hAnsi="仿宋" w:eastAsia="仿宋" w:cs="仿宋"/>
          <w:szCs w:val="24"/>
          <w:u w:val="single"/>
          <w:lang w:bidi="ar"/>
        </w:rPr>
        <w:t>（采购人名称）</w:t>
      </w:r>
      <w:r>
        <w:rPr>
          <w:rFonts w:hint="eastAsia" w:ascii="仿宋" w:hAnsi="仿宋" w:eastAsia="仿宋" w:cs="仿宋"/>
          <w:szCs w:val="24"/>
          <w:lang w:bidi="ar"/>
        </w:rPr>
        <w:t>：</w:t>
      </w:r>
    </w:p>
    <w:p w14:paraId="63F09357">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u w:val="single"/>
          <w:lang w:bidi="ar"/>
        </w:rPr>
        <w:t>（询比供应商全称）</w:t>
      </w:r>
      <w:r>
        <w:rPr>
          <w:rFonts w:hint="eastAsia" w:ascii="仿宋" w:hAnsi="仿宋" w:eastAsia="仿宋" w:cs="仿宋"/>
          <w:szCs w:val="24"/>
          <w:lang w:bidi="ar"/>
        </w:rPr>
        <w:t>法定代表人</w:t>
      </w:r>
      <w:r>
        <w:rPr>
          <w:rFonts w:hint="eastAsia" w:ascii="仿宋" w:hAnsi="仿宋" w:eastAsia="仿宋" w:cs="仿宋"/>
          <w:szCs w:val="24"/>
          <w:u w:val="single"/>
          <w:lang w:bidi="ar"/>
        </w:rPr>
        <w:t>姓名</w:t>
      </w:r>
      <w:r>
        <w:rPr>
          <w:rFonts w:hint="eastAsia" w:ascii="仿宋" w:hAnsi="仿宋" w:eastAsia="仿宋" w:cs="仿宋"/>
          <w:szCs w:val="24"/>
          <w:lang w:bidi="ar"/>
        </w:rPr>
        <w:t>授权</w:t>
      </w:r>
      <w:r>
        <w:rPr>
          <w:rFonts w:hint="eastAsia" w:ascii="仿宋" w:hAnsi="仿宋" w:eastAsia="仿宋" w:cs="仿宋"/>
          <w:szCs w:val="24"/>
          <w:u w:val="single"/>
          <w:lang w:bidi="ar"/>
        </w:rPr>
        <w:t>被授权人姓名</w:t>
      </w:r>
      <w:r>
        <w:rPr>
          <w:rFonts w:hint="eastAsia" w:ascii="仿宋" w:hAnsi="仿宋" w:eastAsia="仿宋" w:cs="仿宋"/>
          <w:szCs w:val="24"/>
          <w:lang w:bidi="ar"/>
        </w:rPr>
        <w:t>（身份证号码：）为本公司合法代理人，参加贵方组织的</w:t>
      </w:r>
      <w:r>
        <w:rPr>
          <w:rFonts w:hint="eastAsia" w:ascii="仿宋" w:hAnsi="仿宋" w:eastAsia="仿宋" w:cs="仿宋"/>
          <w:szCs w:val="24"/>
          <w:u w:val="single"/>
          <w:lang w:bidi="ar"/>
        </w:rPr>
        <w:t>（项目名称）、（项目编号）</w:t>
      </w:r>
      <w:r>
        <w:rPr>
          <w:rFonts w:hint="eastAsia" w:ascii="仿宋" w:hAnsi="仿宋" w:eastAsia="仿宋" w:cs="仿宋"/>
          <w:szCs w:val="24"/>
          <w:lang w:bidi="ar"/>
        </w:rPr>
        <w:t>的</w:t>
      </w:r>
      <w:r>
        <w:rPr>
          <w:rFonts w:hint="eastAsia" w:ascii="仿宋" w:hAnsi="仿宋" w:eastAsia="仿宋" w:cs="仿宋"/>
          <w:szCs w:val="24"/>
        </w:rPr>
        <w:t>询比</w:t>
      </w:r>
      <w:r>
        <w:rPr>
          <w:rFonts w:hint="eastAsia" w:ascii="仿宋" w:hAnsi="仿宋" w:eastAsia="仿宋" w:cs="仿宋"/>
          <w:szCs w:val="24"/>
          <w:lang w:bidi="ar"/>
        </w:rPr>
        <w:t>活动，代表本公司处理</w:t>
      </w:r>
      <w:r>
        <w:rPr>
          <w:rFonts w:hint="eastAsia" w:ascii="仿宋" w:hAnsi="仿宋" w:eastAsia="仿宋" w:cs="仿宋"/>
          <w:szCs w:val="24"/>
        </w:rPr>
        <w:t>询比</w:t>
      </w:r>
      <w:r>
        <w:rPr>
          <w:rFonts w:hint="eastAsia" w:ascii="仿宋" w:hAnsi="仿宋" w:eastAsia="仿宋" w:cs="仿宋"/>
          <w:szCs w:val="24"/>
          <w:lang w:bidi="ar"/>
        </w:rPr>
        <w:t>活动中的一切事宜。</w:t>
      </w:r>
    </w:p>
    <w:p w14:paraId="1F51583C">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本授权委托书签章即生效，被委托人无转委托权。</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6FD8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0EB2B14B">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法定代表人身份证复印件</w:t>
            </w:r>
          </w:p>
          <w:p w14:paraId="78484643">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正面</w:t>
            </w:r>
          </w:p>
          <w:p w14:paraId="07BC6524">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（身份证复印件需清晰可辨认）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6180BFA9">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被授权人身份证复印件</w:t>
            </w:r>
          </w:p>
          <w:p w14:paraId="2345AF55">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正面</w:t>
            </w:r>
          </w:p>
          <w:p w14:paraId="436409CC">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（身份证复印件需清晰可辨认）</w:t>
            </w:r>
          </w:p>
        </w:tc>
      </w:tr>
      <w:tr w14:paraId="609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6961F0EB">
            <w:pPr>
              <w:pStyle w:val="38"/>
              <w:spacing w:before="0" w:beforeAutospacing="0" w:after="0" w:afterAutospacing="0"/>
              <w:ind w:firstLine="480"/>
              <w:rPr>
                <w:rFonts w:ascii="仿宋" w:hAnsi="仿宋" w:eastAsia="仿宋" w:cs="仿宋"/>
                <w:szCs w:val="24"/>
                <w:lang w:bidi="ar"/>
              </w:rPr>
            </w:pPr>
            <w:r>
              <w:rPr>
                <w:rFonts w:hint="eastAsia" w:ascii="仿宋" w:hAnsi="仿宋" w:eastAsia="仿宋" w:cs="仿宋"/>
                <w:szCs w:val="24"/>
                <w:lang w:bidi="ar"/>
              </w:rPr>
              <w:t>法定代表人身份证复印件</w:t>
            </w:r>
          </w:p>
          <w:p w14:paraId="6D6455E3">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反面</w:t>
            </w:r>
          </w:p>
          <w:p w14:paraId="3D3FE298">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（身份证复印件需清晰可辨认）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56E4C83E">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被授权人身份证复印件</w:t>
            </w:r>
          </w:p>
          <w:p w14:paraId="21E2E95D">
            <w:pPr>
              <w:pStyle w:val="38"/>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反面</w:t>
            </w:r>
          </w:p>
          <w:p w14:paraId="191F4B69">
            <w:pPr>
              <w:pStyle w:val="38"/>
              <w:spacing w:before="0" w:beforeAutospacing="0" w:after="0" w:afterAutospacing="0"/>
              <w:ind w:firstLine="0" w:firstLineChars="0"/>
              <w:rPr>
                <w:rFonts w:ascii="仿宋" w:hAnsi="仿宋" w:eastAsia="仿宋" w:cs="仿宋"/>
                <w:szCs w:val="24"/>
              </w:rPr>
            </w:pPr>
            <w:r>
              <w:rPr>
                <w:rFonts w:hint="eastAsia" w:ascii="仿宋" w:hAnsi="仿宋" w:eastAsia="仿宋" w:cs="仿宋"/>
                <w:szCs w:val="24"/>
                <w:lang w:bidi="ar"/>
              </w:rPr>
              <w:t>（身份证复印件需清晰可辨认）</w:t>
            </w:r>
          </w:p>
        </w:tc>
      </w:tr>
    </w:tbl>
    <w:p w14:paraId="78481FE2">
      <w:pPr>
        <w:pStyle w:val="38"/>
        <w:snapToGrid w:val="0"/>
        <w:spacing w:before="0" w:beforeAutospacing="0" w:after="0" w:afterAutospacing="0"/>
        <w:ind w:firstLine="480"/>
        <w:rPr>
          <w:rFonts w:ascii="仿宋" w:hAnsi="仿宋" w:eastAsia="仿宋" w:cs="仿宋"/>
          <w:szCs w:val="24"/>
        </w:rPr>
      </w:pPr>
      <w:r>
        <w:rPr>
          <w:rFonts w:hint="eastAsia" w:ascii="仿宋" w:hAnsi="仿宋" w:eastAsia="仿宋" w:cs="仿宋"/>
          <w:szCs w:val="24"/>
          <w:lang w:bidi="ar"/>
        </w:rPr>
        <w:t>注：1.身份证复印件如为粘贴的，须在身份证复印件与本页接缝处加盖公章；</w:t>
      </w:r>
    </w:p>
    <w:p w14:paraId="01FC256E">
      <w:pPr>
        <w:pStyle w:val="38"/>
        <w:snapToGrid w:val="0"/>
        <w:spacing w:before="0" w:beforeAutospacing="0" w:after="0" w:afterAutospacing="0"/>
        <w:ind w:firstLine="960" w:firstLineChars="400"/>
        <w:rPr>
          <w:rFonts w:ascii="仿宋" w:hAnsi="仿宋" w:eastAsia="仿宋" w:cs="仿宋"/>
          <w:szCs w:val="24"/>
        </w:rPr>
      </w:pPr>
    </w:p>
    <w:tbl>
      <w:tblPr>
        <w:tblStyle w:val="42"/>
        <w:tblpPr w:leftFromText="180" w:rightFromText="180" w:vertAnchor="text" w:horzAnchor="page" w:tblpX="3508" w:tblpY="584"/>
        <w:tblOverlap w:val="never"/>
        <w:tblW w:w="0" w:type="auto"/>
        <w:tblInd w:w="0" w:type="dxa"/>
        <w:tblLayout w:type="fixed"/>
        <w:tblCellMar>
          <w:top w:w="0" w:type="dxa"/>
          <w:left w:w="108" w:type="dxa"/>
          <w:bottom w:w="0" w:type="dxa"/>
          <w:right w:w="108" w:type="dxa"/>
        </w:tblCellMar>
      </w:tblPr>
      <w:tblGrid>
        <w:gridCol w:w="3569"/>
        <w:gridCol w:w="3510"/>
      </w:tblGrid>
      <w:tr w14:paraId="075AF810">
        <w:tblPrEx>
          <w:tblCellMar>
            <w:top w:w="0" w:type="dxa"/>
            <w:left w:w="108" w:type="dxa"/>
            <w:bottom w:w="0" w:type="dxa"/>
            <w:right w:w="108" w:type="dxa"/>
          </w:tblCellMar>
        </w:tblPrEx>
        <w:trPr>
          <w:trHeight w:val="537" w:hRule="atLeast"/>
        </w:trPr>
        <w:tc>
          <w:tcPr>
            <w:tcW w:w="3569" w:type="dxa"/>
            <w:vAlign w:val="bottom"/>
          </w:tcPr>
          <w:p w14:paraId="4134980C">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询比供应商（公章）：</w:t>
            </w:r>
          </w:p>
        </w:tc>
        <w:tc>
          <w:tcPr>
            <w:tcW w:w="3510" w:type="dxa"/>
            <w:tcBorders>
              <w:bottom w:val="single" w:color="auto" w:sz="4" w:space="0"/>
            </w:tcBorders>
          </w:tcPr>
          <w:p w14:paraId="19B9C8D9">
            <w:pPr>
              <w:pStyle w:val="38"/>
              <w:snapToGrid w:val="0"/>
              <w:spacing w:before="0" w:beforeAutospacing="0" w:after="0" w:afterAutospacing="0"/>
              <w:ind w:firstLine="480"/>
              <w:jc w:val="center"/>
              <w:rPr>
                <w:rFonts w:ascii="仿宋" w:hAnsi="仿宋" w:eastAsia="仿宋" w:cs="仿宋"/>
                <w:szCs w:val="24"/>
                <w:lang w:bidi="ar"/>
              </w:rPr>
            </w:pPr>
          </w:p>
        </w:tc>
      </w:tr>
      <w:tr w14:paraId="24CDA56C">
        <w:tblPrEx>
          <w:tblCellMar>
            <w:top w:w="0" w:type="dxa"/>
            <w:left w:w="108" w:type="dxa"/>
            <w:bottom w:w="0" w:type="dxa"/>
            <w:right w:w="108" w:type="dxa"/>
          </w:tblCellMar>
        </w:tblPrEx>
        <w:trPr>
          <w:trHeight w:val="551" w:hRule="atLeast"/>
        </w:trPr>
        <w:tc>
          <w:tcPr>
            <w:tcW w:w="3569" w:type="dxa"/>
            <w:vAlign w:val="bottom"/>
          </w:tcPr>
          <w:p w14:paraId="47EB3F60">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法定代表人（签字或盖章）：</w:t>
            </w:r>
          </w:p>
        </w:tc>
        <w:tc>
          <w:tcPr>
            <w:tcW w:w="3510" w:type="dxa"/>
            <w:tcBorders>
              <w:top w:val="single" w:color="auto" w:sz="4" w:space="0"/>
              <w:bottom w:val="single" w:color="auto" w:sz="4" w:space="0"/>
            </w:tcBorders>
          </w:tcPr>
          <w:p w14:paraId="26EB1D3E">
            <w:pPr>
              <w:pStyle w:val="38"/>
              <w:snapToGrid w:val="0"/>
              <w:spacing w:before="0" w:beforeAutospacing="0" w:after="0" w:afterAutospacing="0"/>
              <w:ind w:firstLine="480"/>
              <w:jc w:val="center"/>
              <w:rPr>
                <w:rFonts w:ascii="仿宋" w:hAnsi="仿宋" w:eastAsia="仿宋" w:cs="仿宋"/>
                <w:szCs w:val="24"/>
                <w:lang w:bidi="ar"/>
              </w:rPr>
            </w:pPr>
          </w:p>
        </w:tc>
      </w:tr>
      <w:tr w14:paraId="1FB010ED">
        <w:tblPrEx>
          <w:tblCellMar>
            <w:top w:w="0" w:type="dxa"/>
            <w:left w:w="108" w:type="dxa"/>
            <w:bottom w:w="0" w:type="dxa"/>
            <w:right w:w="108" w:type="dxa"/>
          </w:tblCellMar>
        </w:tblPrEx>
        <w:trPr>
          <w:trHeight w:val="551" w:hRule="atLeast"/>
        </w:trPr>
        <w:tc>
          <w:tcPr>
            <w:tcW w:w="3569" w:type="dxa"/>
            <w:vAlign w:val="bottom"/>
          </w:tcPr>
          <w:p w14:paraId="004FE82B">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被授权代表签字或盖章：</w:t>
            </w:r>
          </w:p>
        </w:tc>
        <w:tc>
          <w:tcPr>
            <w:tcW w:w="3510" w:type="dxa"/>
            <w:tcBorders>
              <w:top w:val="single" w:color="auto" w:sz="4" w:space="0"/>
              <w:bottom w:val="single" w:color="auto" w:sz="4" w:space="0"/>
            </w:tcBorders>
          </w:tcPr>
          <w:p w14:paraId="148A7B7C">
            <w:pPr>
              <w:pStyle w:val="38"/>
              <w:snapToGrid w:val="0"/>
              <w:spacing w:before="0" w:beforeAutospacing="0" w:after="0" w:afterAutospacing="0"/>
              <w:ind w:firstLine="480"/>
              <w:jc w:val="center"/>
              <w:rPr>
                <w:rFonts w:ascii="仿宋" w:hAnsi="仿宋" w:eastAsia="仿宋" w:cs="仿宋"/>
                <w:szCs w:val="24"/>
                <w:lang w:bidi="ar"/>
              </w:rPr>
            </w:pPr>
          </w:p>
        </w:tc>
      </w:tr>
      <w:tr w14:paraId="30BC7E75">
        <w:tblPrEx>
          <w:tblCellMar>
            <w:top w:w="0" w:type="dxa"/>
            <w:left w:w="108" w:type="dxa"/>
            <w:bottom w:w="0" w:type="dxa"/>
            <w:right w:w="108" w:type="dxa"/>
          </w:tblCellMar>
        </w:tblPrEx>
        <w:trPr>
          <w:trHeight w:val="561" w:hRule="atLeast"/>
        </w:trPr>
        <w:tc>
          <w:tcPr>
            <w:tcW w:w="3569" w:type="dxa"/>
            <w:vAlign w:val="bottom"/>
          </w:tcPr>
          <w:p w14:paraId="408623E1">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日期：</w:t>
            </w:r>
          </w:p>
        </w:tc>
        <w:tc>
          <w:tcPr>
            <w:tcW w:w="3510" w:type="dxa"/>
            <w:tcBorders>
              <w:top w:val="single" w:color="auto" w:sz="4" w:space="0"/>
              <w:bottom w:val="single" w:color="auto" w:sz="4" w:space="0"/>
            </w:tcBorders>
            <w:vAlign w:val="bottom"/>
          </w:tcPr>
          <w:p w14:paraId="751B3B3D">
            <w:pPr>
              <w:pStyle w:val="38"/>
              <w:snapToGrid w:val="0"/>
              <w:spacing w:before="0" w:beforeAutospacing="0" w:after="0" w:afterAutospacing="0"/>
              <w:ind w:firstLine="480"/>
              <w:jc w:val="center"/>
              <w:rPr>
                <w:rFonts w:ascii="仿宋" w:hAnsi="仿宋" w:eastAsia="仿宋" w:cs="仿宋"/>
                <w:szCs w:val="24"/>
                <w:lang w:bidi="ar"/>
              </w:rPr>
            </w:pPr>
            <w:r>
              <w:rPr>
                <w:rFonts w:hint="eastAsia" w:ascii="仿宋" w:hAnsi="仿宋" w:eastAsia="仿宋" w:cs="仿宋"/>
                <w:szCs w:val="24"/>
                <w:lang w:bidi="ar"/>
              </w:rPr>
              <w:t>年月日</w:t>
            </w:r>
          </w:p>
        </w:tc>
      </w:tr>
    </w:tbl>
    <w:p w14:paraId="4A4C2C8A">
      <w:pPr>
        <w:pStyle w:val="38"/>
        <w:snapToGrid w:val="0"/>
        <w:spacing w:before="0" w:beforeAutospacing="0" w:after="0" w:afterAutospacing="0"/>
        <w:ind w:firstLine="480"/>
        <w:jc w:val="center"/>
        <w:rPr>
          <w:rFonts w:ascii="仿宋" w:hAnsi="仿宋" w:eastAsia="仿宋" w:cs="仿宋"/>
          <w:szCs w:val="24"/>
          <w:lang w:bidi="ar"/>
        </w:rPr>
      </w:pPr>
    </w:p>
    <w:p w14:paraId="67558265">
      <w:pPr>
        <w:pStyle w:val="38"/>
        <w:snapToGrid w:val="0"/>
        <w:spacing w:before="0" w:beforeAutospacing="0" w:after="0" w:afterAutospacing="0"/>
        <w:ind w:firstLine="480"/>
        <w:jc w:val="center"/>
        <w:rPr>
          <w:rFonts w:ascii="仿宋" w:hAnsi="仿宋" w:eastAsia="仿宋" w:cs="仿宋"/>
          <w:szCs w:val="24"/>
          <w:lang w:bidi="ar"/>
        </w:rPr>
      </w:pPr>
    </w:p>
    <w:p w14:paraId="56785BD8">
      <w:pPr>
        <w:pStyle w:val="38"/>
        <w:snapToGrid w:val="0"/>
        <w:spacing w:before="0" w:beforeAutospacing="0" w:after="0" w:afterAutospacing="0"/>
        <w:ind w:firstLine="480"/>
        <w:jc w:val="right"/>
        <w:rPr>
          <w:rFonts w:ascii="仿宋" w:hAnsi="仿宋" w:eastAsia="仿宋" w:cs="仿宋"/>
          <w:szCs w:val="24"/>
        </w:rPr>
      </w:pPr>
    </w:p>
    <w:p w14:paraId="626850AC">
      <w:pPr>
        <w:pStyle w:val="38"/>
        <w:snapToGrid w:val="0"/>
        <w:spacing w:before="0" w:beforeAutospacing="0" w:after="0" w:afterAutospacing="0"/>
        <w:ind w:firstLine="480"/>
        <w:jc w:val="right"/>
        <w:rPr>
          <w:rFonts w:ascii="仿宋" w:hAnsi="仿宋" w:eastAsia="仿宋" w:cs="仿宋"/>
          <w:szCs w:val="24"/>
          <w:u w:val="single"/>
          <w:lang w:bidi="ar"/>
        </w:rPr>
      </w:pPr>
    </w:p>
    <w:p w14:paraId="56EBC334">
      <w:pPr>
        <w:pStyle w:val="38"/>
        <w:snapToGrid w:val="0"/>
        <w:spacing w:before="0" w:beforeAutospacing="0" w:after="0" w:afterAutospacing="0"/>
        <w:ind w:firstLine="480"/>
        <w:rPr>
          <w:rFonts w:ascii="仿宋" w:hAnsi="仿宋" w:eastAsia="仿宋" w:cs="仿宋"/>
          <w:szCs w:val="24"/>
        </w:rPr>
      </w:pPr>
    </w:p>
    <w:p w14:paraId="2DAC913C">
      <w:pPr>
        <w:ind w:firstLine="480"/>
        <w:rPr>
          <w:rFonts w:ascii="仿宋" w:hAnsi="仿宋" w:eastAsia="仿宋" w:cs="仿宋"/>
          <w:sz w:val="24"/>
          <w:szCs w:val="24"/>
        </w:rPr>
      </w:pPr>
    </w:p>
    <w:p w14:paraId="504C817D">
      <w:pPr>
        <w:wordWrap w:val="0"/>
        <w:ind w:firstLine="0" w:firstLineChars="0"/>
        <w:jc w:val="center"/>
        <w:rPr>
          <w:rFonts w:ascii="仿宋" w:hAnsi="仿宋" w:eastAsia="仿宋" w:cs="仿宋"/>
          <w:b/>
          <w:bCs/>
          <w:sz w:val="24"/>
          <w:szCs w:val="24"/>
        </w:rPr>
      </w:pPr>
      <w:bookmarkStart w:id="170" w:name="_Toc19652"/>
      <w:bookmarkStart w:id="171" w:name="_Toc16919"/>
      <w:bookmarkStart w:id="172" w:name="_Toc5905"/>
      <w:bookmarkStart w:id="173" w:name="_Toc7762"/>
      <w:bookmarkStart w:id="174" w:name="_Toc23267"/>
      <w:bookmarkStart w:id="175" w:name="_Toc860"/>
    </w:p>
    <w:p w14:paraId="22107852">
      <w:pPr>
        <w:wordWrap w:val="0"/>
        <w:ind w:firstLine="0" w:firstLineChars="0"/>
        <w:jc w:val="center"/>
        <w:rPr>
          <w:rFonts w:ascii="仿宋" w:hAnsi="仿宋" w:eastAsia="仿宋" w:cs="仿宋"/>
          <w:b/>
          <w:bCs/>
          <w:sz w:val="24"/>
          <w:szCs w:val="24"/>
        </w:rPr>
      </w:pPr>
    </w:p>
    <w:p w14:paraId="6CE4A872">
      <w:pPr>
        <w:wordWrap w:val="0"/>
        <w:ind w:firstLine="0" w:firstLineChars="0"/>
        <w:jc w:val="center"/>
        <w:rPr>
          <w:rFonts w:ascii="仿宋" w:hAnsi="仿宋" w:eastAsia="仿宋" w:cs="仿宋"/>
          <w:b/>
          <w:bCs/>
          <w:sz w:val="24"/>
          <w:szCs w:val="24"/>
        </w:rPr>
      </w:pPr>
    </w:p>
    <w:p w14:paraId="1B1F0245">
      <w:pPr>
        <w:wordWrap w:val="0"/>
        <w:ind w:firstLine="0" w:firstLineChars="0"/>
        <w:jc w:val="center"/>
        <w:rPr>
          <w:rFonts w:ascii="仿宋" w:hAnsi="仿宋" w:eastAsia="仿宋" w:cs="仿宋"/>
          <w:b/>
          <w:bCs/>
          <w:sz w:val="24"/>
          <w:szCs w:val="24"/>
        </w:rPr>
      </w:pPr>
    </w:p>
    <w:p w14:paraId="0FA6D76D">
      <w:pPr>
        <w:wordWrap w:val="0"/>
        <w:ind w:firstLine="0" w:firstLineChars="0"/>
        <w:jc w:val="center"/>
        <w:rPr>
          <w:rFonts w:ascii="仿宋" w:hAnsi="仿宋" w:eastAsia="仿宋" w:cs="仿宋"/>
          <w:b/>
          <w:bCs/>
          <w:sz w:val="24"/>
          <w:szCs w:val="24"/>
        </w:rPr>
      </w:pPr>
    </w:p>
    <w:p w14:paraId="0EA33995">
      <w:pPr>
        <w:wordWrap w:val="0"/>
        <w:ind w:firstLine="0" w:firstLineChars="0"/>
        <w:jc w:val="center"/>
        <w:rPr>
          <w:rFonts w:ascii="仿宋" w:hAnsi="仿宋" w:eastAsia="仿宋" w:cs="仿宋"/>
          <w:b/>
          <w:bCs/>
          <w:sz w:val="24"/>
          <w:szCs w:val="24"/>
        </w:rPr>
      </w:pPr>
    </w:p>
    <w:p w14:paraId="26E4B976">
      <w:pPr>
        <w:wordWrap w:val="0"/>
        <w:ind w:firstLine="0" w:firstLineChars="0"/>
        <w:jc w:val="center"/>
        <w:rPr>
          <w:rFonts w:ascii="仿宋" w:hAnsi="仿宋" w:eastAsia="仿宋" w:cs="仿宋"/>
          <w:b/>
          <w:bCs/>
          <w:sz w:val="24"/>
          <w:szCs w:val="24"/>
        </w:rPr>
      </w:pPr>
    </w:p>
    <w:p w14:paraId="2FAB9D6A">
      <w:pPr>
        <w:wordWrap w:val="0"/>
        <w:ind w:firstLine="0" w:firstLineChars="0"/>
        <w:jc w:val="center"/>
        <w:rPr>
          <w:rFonts w:ascii="仿宋" w:hAnsi="仿宋" w:eastAsia="仿宋" w:cs="仿宋"/>
          <w:b/>
          <w:bCs/>
          <w:sz w:val="24"/>
          <w:szCs w:val="24"/>
        </w:rPr>
      </w:pPr>
    </w:p>
    <w:p w14:paraId="65C2B22A">
      <w:pPr>
        <w:wordWrap w:val="0"/>
        <w:ind w:firstLine="0" w:firstLineChars="0"/>
        <w:jc w:val="center"/>
        <w:rPr>
          <w:rFonts w:ascii="仿宋" w:hAnsi="仿宋" w:eastAsia="仿宋" w:cs="仿宋"/>
          <w:b/>
          <w:bCs/>
          <w:sz w:val="24"/>
          <w:szCs w:val="24"/>
        </w:rPr>
      </w:pPr>
      <w:r>
        <w:rPr>
          <w:rFonts w:hint="eastAsia" w:ascii="仿宋" w:hAnsi="仿宋" w:eastAsia="仿宋" w:cs="仿宋"/>
          <w:b/>
          <w:bCs/>
          <w:sz w:val="24"/>
          <w:szCs w:val="24"/>
        </w:rPr>
        <w:t>法定代表人身份证明</w:t>
      </w:r>
      <w:bookmarkEnd w:id="170"/>
      <w:bookmarkEnd w:id="171"/>
      <w:bookmarkEnd w:id="172"/>
      <w:bookmarkEnd w:id="173"/>
      <w:bookmarkEnd w:id="174"/>
      <w:bookmarkEnd w:id="175"/>
    </w:p>
    <w:p w14:paraId="7939DA1C">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询比供应商名称：</w:t>
      </w:r>
    </w:p>
    <w:p w14:paraId="3B7150BE">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单位性质：</w:t>
      </w:r>
    </w:p>
    <w:p w14:paraId="05336A82">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地址：</w:t>
      </w:r>
    </w:p>
    <w:p w14:paraId="2089BCC5">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成立时间：年月日</w:t>
      </w:r>
    </w:p>
    <w:p w14:paraId="5F1B863D">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经营期限：</w:t>
      </w:r>
    </w:p>
    <w:p w14:paraId="3DF9C699">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姓名：性别：</w:t>
      </w:r>
    </w:p>
    <w:p w14:paraId="3244BFC3">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年龄：职务：</w:t>
      </w:r>
    </w:p>
    <w:p w14:paraId="127D7010">
      <w:pPr>
        <w:spacing w:line="600" w:lineRule="exact"/>
        <w:ind w:firstLine="0" w:firstLineChars="0"/>
        <w:rPr>
          <w:rFonts w:ascii="仿宋" w:hAnsi="仿宋" w:eastAsia="仿宋" w:cs="仿宋"/>
          <w:sz w:val="24"/>
          <w:szCs w:val="24"/>
        </w:rPr>
      </w:pPr>
      <w:r>
        <w:rPr>
          <w:rFonts w:hint="eastAsia" w:ascii="仿宋" w:hAnsi="仿宋" w:eastAsia="仿宋" w:cs="仿宋"/>
          <w:sz w:val="24"/>
          <w:szCs w:val="24"/>
        </w:rPr>
        <w:t>系（供应商名称）的法定代表人。</w:t>
      </w:r>
    </w:p>
    <w:p w14:paraId="7140CF94">
      <w:pPr>
        <w:spacing w:line="600" w:lineRule="exact"/>
        <w:ind w:firstLine="480"/>
        <w:rPr>
          <w:rFonts w:ascii="仿宋" w:hAnsi="仿宋" w:eastAsia="仿宋" w:cs="仿宋"/>
          <w:sz w:val="24"/>
          <w:szCs w:val="24"/>
        </w:rPr>
      </w:pPr>
      <w:r>
        <w:rPr>
          <w:rFonts w:hint="eastAsia" w:ascii="仿宋" w:hAnsi="仿宋" w:eastAsia="仿宋" w:cs="仿宋"/>
          <w:sz w:val="24"/>
          <w:szCs w:val="24"/>
        </w:rPr>
        <w:t>特此证明。</w:t>
      </w:r>
    </w:p>
    <w:p w14:paraId="5E6862B1">
      <w:pPr>
        <w:spacing w:line="440" w:lineRule="exact"/>
        <w:ind w:firstLine="480"/>
        <w:rPr>
          <w:rFonts w:ascii="仿宋" w:hAnsi="仿宋" w:eastAsia="仿宋" w:cs="仿宋"/>
          <w:sz w:val="24"/>
          <w:szCs w:val="24"/>
        </w:rPr>
      </w:pPr>
    </w:p>
    <w:p w14:paraId="659EF8F0">
      <w:pPr>
        <w:spacing w:line="440" w:lineRule="exact"/>
        <w:ind w:firstLine="0" w:firstLineChars="0"/>
        <w:rPr>
          <w:rFonts w:ascii="仿宋" w:hAnsi="仿宋" w:eastAsia="仿宋" w:cs="仿宋"/>
          <w:sz w:val="24"/>
          <w:szCs w:val="24"/>
        </w:rPr>
      </w:pPr>
      <w:r>
        <w:rPr>
          <w:rFonts w:hint="eastAsia" w:ascii="仿宋" w:hAnsi="仿宋" w:eastAsia="仿宋" w:cs="仿宋"/>
          <w:sz w:val="24"/>
          <w:szCs w:val="24"/>
        </w:rPr>
        <w:t>附：法定代表人身份证复印件</w:t>
      </w:r>
    </w:p>
    <w:p w14:paraId="1EC10AD2">
      <w:pPr>
        <w:spacing w:line="440" w:lineRule="exact"/>
        <w:ind w:firstLine="480"/>
        <w:rPr>
          <w:rFonts w:ascii="仿宋" w:hAnsi="仿宋" w:eastAsia="仿宋" w:cs="仿宋"/>
          <w:sz w:val="24"/>
          <w:szCs w:val="24"/>
        </w:rPr>
      </w:pPr>
    </w:p>
    <w:p w14:paraId="6EC8E8E3">
      <w:pPr>
        <w:spacing w:line="440" w:lineRule="exact"/>
        <w:ind w:firstLine="480"/>
        <w:rPr>
          <w:rFonts w:ascii="仿宋" w:hAnsi="仿宋" w:eastAsia="仿宋" w:cs="仿宋"/>
          <w:sz w:val="24"/>
          <w:szCs w:val="24"/>
        </w:rPr>
      </w:pPr>
    </w:p>
    <w:p w14:paraId="2C9B3B0F">
      <w:pPr>
        <w:spacing w:line="440" w:lineRule="exact"/>
        <w:ind w:firstLine="480"/>
        <w:rPr>
          <w:rFonts w:ascii="仿宋" w:hAnsi="仿宋" w:eastAsia="仿宋" w:cs="仿宋"/>
          <w:sz w:val="24"/>
          <w:szCs w:val="24"/>
        </w:rPr>
      </w:pPr>
    </w:p>
    <w:p w14:paraId="5A358C2F">
      <w:pPr>
        <w:spacing w:line="600" w:lineRule="exact"/>
        <w:ind w:firstLine="480"/>
        <w:rPr>
          <w:rFonts w:ascii="仿宋" w:hAnsi="仿宋" w:eastAsia="仿宋" w:cs="仿宋"/>
          <w:sz w:val="24"/>
          <w:szCs w:val="24"/>
        </w:rPr>
      </w:pPr>
    </w:p>
    <w:tbl>
      <w:tblPr>
        <w:tblStyle w:val="42"/>
        <w:tblpPr w:leftFromText="180" w:rightFromText="180" w:vertAnchor="text" w:horzAnchor="page" w:tblpX="4088" w:tblpY="584"/>
        <w:tblOverlap w:val="never"/>
        <w:tblW w:w="0" w:type="auto"/>
        <w:tblInd w:w="0" w:type="dxa"/>
        <w:tblLayout w:type="fixed"/>
        <w:tblCellMar>
          <w:top w:w="0" w:type="dxa"/>
          <w:left w:w="108" w:type="dxa"/>
          <w:bottom w:w="0" w:type="dxa"/>
          <w:right w:w="108" w:type="dxa"/>
        </w:tblCellMar>
      </w:tblPr>
      <w:tblGrid>
        <w:gridCol w:w="2989"/>
        <w:gridCol w:w="3510"/>
      </w:tblGrid>
      <w:tr w14:paraId="6430FF96">
        <w:tblPrEx>
          <w:tblCellMar>
            <w:top w:w="0" w:type="dxa"/>
            <w:left w:w="108" w:type="dxa"/>
            <w:bottom w:w="0" w:type="dxa"/>
            <w:right w:w="108" w:type="dxa"/>
          </w:tblCellMar>
        </w:tblPrEx>
        <w:trPr>
          <w:trHeight w:val="537" w:hRule="atLeast"/>
        </w:trPr>
        <w:tc>
          <w:tcPr>
            <w:tcW w:w="2989" w:type="dxa"/>
            <w:vAlign w:val="bottom"/>
          </w:tcPr>
          <w:p w14:paraId="534FC9D4">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询比供应商（公章）：</w:t>
            </w:r>
          </w:p>
        </w:tc>
        <w:tc>
          <w:tcPr>
            <w:tcW w:w="3510" w:type="dxa"/>
            <w:tcBorders>
              <w:bottom w:val="single" w:color="auto" w:sz="4" w:space="0"/>
            </w:tcBorders>
          </w:tcPr>
          <w:p w14:paraId="36FEB34A">
            <w:pPr>
              <w:pStyle w:val="38"/>
              <w:snapToGrid w:val="0"/>
              <w:spacing w:before="0" w:beforeAutospacing="0" w:after="0" w:afterAutospacing="0"/>
              <w:ind w:firstLine="480"/>
              <w:jc w:val="center"/>
              <w:rPr>
                <w:rFonts w:ascii="仿宋" w:hAnsi="仿宋" w:eastAsia="仿宋" w:cs="仿宋"/>
                <w:szCs w:val="24"/>
                <w:lang w:bidi="ar"/>
              </w:rPr>
            </w:pPr>
          </w:p>
        </w:tc>
      </w:tr>
      <w:tr w14:paraId="40727F81">
        <w:tblPrEx>
          <w:tblCellMar>
            <w:top w:w="0" w:type="dxa"/>
            <w:left w:w="108" w:type="dxa"/>
            <w:bottom w:w="0" w:type="dxa"/>
            <w:right w:w="108" w:type="dxa"/>
          </w:tblCellMar>
        </w:tblPrEx>
        <w:trPr>
          <w:trHeight w:val="561" w:hRule="atLeast"/>
        </w:trPr>
        <w:tc>
          <w:tcPr>
            <w:tcW w:w="2989" w:type="dxa"/>
            <w:vAlign w:val="bottom"/>
          </w:tcPr>
          <w:p w14:paraId="46CA184D">
            <w:pPr>
              <w:pStyle w:val="38"/>
              <w:snapToGrid w:val="0"/>
              <w:spacing w:before="0" w:beforeAutospacing="0" w:after="0" w:afterAutospacing="0"/>
              <w:ind w:firstLine="0" w:firstLineChars="0"/>
              <w:jc w:val="distribute"/>
              <w:rPr>
                <w:rFonts w:ascii="仿宋" w:hAnsi="仿宋" w:eastAsia="仿宋" w:cs="仿宋"/>
                <w:szCs w:val="24"/>
                <w:lang w:bidi="ar"/>
              </w:rPr>
            </w:pPr>
            <w:r>
              <w:rPr>
                <w:rFonts w:hint="eastAsia" w:ascii="仿宋" w:hAnsi="仿宋" w:eastAsia="仿宋" w:cs="仿宋"/>
                <w:szCs w:val="24"/>
                <w:lang w:bidi="ar"/>
              </w:rPr>
              <w:t>日期：</w:t>
            </w:r>
          </w:p>
        </w:tc>
        <w:tc>
          <w:tcPr>
            <w:tcW w:w="3510" w:type="dxa"/>
            <w:tcBorders>
              <w:top w:val="single" w:color="auto" w:sz="4" w:space="0"/>
              <w:bottom w:val="single" w:color="auto" w:sz="4" w:space="0"/>
            </w:tcBorders>
            <w:vAlign w:val="bottom"/>
          </w:tcPr>
          <w:p w14:paraId="521310A6">
            <w:pPr>
              <w:pStyle w:val="38"/>
              <w:snapToGrid w:val="0"/>
              <w:spacing w:before="0" w:beforeAutospacing="0" w:after="0" w:afterAutospacing="0"/>
              <w:ind w:firstLine="480"/>
              <w:jc w:val="center"/>
              <w:rPr>
                <w:rFonts w:ascii="仿宋" w:hAnsi="仿宋" w:eastAsia="仿宋" w:cs="仿宋"/>
                <w:szCs w:val="24"/>
                <w:lang w:bidi="ar"/>
              </w:rPr>
            </w:pPr>
            <w:r>
              <w:rPr>
                <w:rFonts w:hint="eastAsia" w:ascii="仿宋" w:hAnsi="仿宋" w:eastAsia="仿宋" w:cs="仿宋"/>
                <w:szCs w:val="24"/>
                <w:lang w:bidi="ar"/>
              </w:rPr>
              <w:t>年月日</w:t>
            </w:r>
          </w:p>
        </w:tc>
      </w:tr>
    </w:tbl>
    <w:p w14:paraId="0392517B">
      <w:pPr>
        <w:spacing w:line="600" w:lineRule="exact"/>
        <w:ind w:firstLine="480"/>
        <w:rPr>
          <w:rFonts w:ascii="仿宋" w:hAnsi="仿宋" w:eastAsia="仿宋" w:cs="仿宋"/>
          <w:sz w:val="24"/>
          <w:szCs w:val="24"/>
        </w:rPr>
      </w:pPr>
    </w:p>
    <w:p w14:paraId="1F4C9874">
      <w:pPr>
        <w:spacing w:before="312" w:beforeLines="100" w:after="156" w:afterLines="50"/>
        <w:ind w:left="1314" w:leftChars="473" w:hanging="321" w:hangingChars="134"/>
        <w:jc w:val="right"/>
        <w:rPr>
          <w:rFonts w:ascii="仿宋" w:hAnsi="仿宋" w:eastAsia="仿宋" w:cs="仿宋"/>
          <w:sz w:val="24"/>
          <w:szCs w:val="24"/>
        </w:rPr>
      </w:pPr>
    </w:p>
    <w:p w14:paraId="58815987">
      <w:pPr>
        <w:ind w:firstLine="0" w:firstLineChars="0"/>
        <w:jc w:val="both"/>
        <w:rPr>
          <w:rFonts w:ascii="仿宋" w:hAnsi="仿宋" w:eastAsia="仿宋" w:cs="仿宋"/>
          <w:kern w:val="0"/>
          <w:sz w:val="24"/>
          <w:szCs w:val="24"/>
        </w:rPr>
      </w:pPr>
    </w:p>
    <w:p w14:paraId="75548381">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如为供应商法定代表人作为询比代表参与本项目，无需提供法定代表人授权委托书。</w:t>
      </w:r>
    </w:p>
    <w:p w14:paraId="4645E88B">
      <w:pPr>
        <w:ind w:firstLine="0" w:firstLineChars="0"/>
        <w:jc w:val="center"/>
        <w:rPr>
          <w:rFonts w:ascii="仿宋" w:hAnsi="仿宋" w:eastAsia="仿宋" w:cs="仿宋"/>
          <w:b/>
          <w:bCs/>
          <w:sz w:val="24"/>
          <w:szCs w:val="24"/>
        </w:rPr>
      </w:pPr>
    </w:p>
    <w:p w14:paraId="02F6FFEE">
      <w:pPr>
        <w:wordWrap w:val="0"/>
        <w:ind w:firstLine="0" w:firstLineChars="0"/>
        <w:jc w:val="center"/>
        <w:rPr>
          <w:rFonts w:ascii="仿宋" w:hAnsi="仿宋" w:eastAsia="仿宋" w:cs="仿宋"/>
          <w:b/>
          <w:bCs/>
          <w:sz w:val="24"/>
          <w:szCs w:val="24"/>
        </w:rPr>
      </w:pPr>
    </w:p>
    <w:p w14:paraId="59C9EDCB">
      <w:pPr>
        <w:spacing w:line="600" w:lineRule="exact"/>
        <w:ind w:firstLine="0" w:firstLineChars="0"/>
        <w:jc w:val="both"/>
        <w:outlineLvl w:val="2"/>
        <w:rPr>
          <w:rFonts w:ascii="仿宋" w:hAnsi="仿宋" w:eastAsia="仿宋" w:cs="仿宋"/>
          <w:sz w:val="40"/>
          <w:szCs w:val="40"/>
        </w:rPr>
      </w:pPr>
      <w:bookmarkStart w:id="176" w:name="_Toc367"/>
      <w:bookmarkStart w:id="177" w:name="_Toc2058"/>
    </w:p>
    <w:bookmarkEnd w:id="176"/>
    <w:bookmarkEnd w:id="177"/>
    <w:p w14:paraId="1A4EE21B">
      <w:pPr>
        <w:ind w:firstLine="420" w:firstLineChars="0"/>
        <w:jc w:val="center"/>
        <w:outlineLvl w:val="1"/>
        <w:rPr>
          <w:rFonts w:ascii="仿宋" w:hAnsi="仿宋" w:eastAsia="仿宋" w:cs="仿宋"/>
          <w:b/>
          <w:bCs/>
          <w:sz w:val="24"/>
          <w:szCs w:val="24"/>
        </w:rPr>
      </w:pPr>
      <w:bookmarkStart w:id="178" w:name="_Toc14623"/>
      <w:bookmarkStart w:id="179" w:name="_Toc17612"/>
      <w:bookmarkStart w:id="180" w:name="_Toc27144"/>
      <w:bookmarkStart w:id="181" w:name="_Toc19936"/>
      <w:bookmarkStart w:id="182" w:name="_Toc6488"/>
      <w:r>
        <w:rPr>
          <w:rFonts w:hint="eastAsia" w:ascii="仿宋" w:hAnsi="仿宋" w:eastAsia="仿宋" w:cs="仿宋"/>
          <w:b/>
          <w:bCs/>
          <w:sz w:val="24"/>
          <w:szCs w:val="24"/>
        </w:rPr>
        <w:t>三、其他资料</w:t>
      </w:r>
      <w:bookmarkEnd w:id="178"/>
      <w:bookmarkEnd w:id="179"/>
      <w:bookmarkEnd w:id="180"/>
      <w:bookmarkEnd w:id="181"/>
      <w:bookmarkEnd w:id="182"/>
    </w:p>
    <w:p w14:paraId="5F44ED83">
      <w:pPr>
        <w:ind w:left="420" w:leftChars="200" w:firstLine="0" w:firstLineChars="0"/>
        <w:rPr>
          <w:rFonts w:ascii="仿宋" w:hAnsi="仿宋" w:eastAsia="仿宋" w:cs="仿宋"/>
          <w:sz w:val="24"/>
          <w:szCs w:val="24"/>
        </w:rPr>
      </w:pPr>
      <w:r>
        <w:rPr>
          <w:rFonts w:hint="eastAsia" w:ascii="仿宋" w:hAnsi="仿宋" w:eastAsia="仿宋" w:cs="仿宋"/>
          <w:sz w:val="24"/>
          <w:szCs w:val="24"/>
        </w:rPr>
        <w:t>1.供应商认为需提交的其他资料。</w:t>
      </w:r>
    </w:p>
    <w:p w14:paraId="7258B445">
      <w:pPr>
        <w:ind w:left="420" w:leftChars="200" w:firstLine="0" w:firstLineChars="0"/>
        <w:rPr>
          <w:rFonts w:ascii="仿宋" w:hAnsi="仿宋" w:eastAsia="仿宋" w:cs="仿宋"/>
          <w:sz w:val="24"/>
          <w:szCs w:val="24"/>
        </w:rPr>
      </w:pPr>
      <w:r>
        <w:rPr>
          <w:rFonts w:hint="eastAsia" w:ascii="仿宋" w:hAnsi="仿宋" w:eastAsia="仿宋" w:cs="仿宋"/>
          <w:sz w:val="24"/>
          <w:szCs w:val="24"/>
        </w:rPr>
        <w:t>2.询比文件要求提交的其他材料。</w:t>
      </w:r>
    </w:p>
    <w:p w14:paraId="5008BAAB">
      <w:pPr>
        <w:pStyle w:val="12"/>
        <w:ind w:firstLine="480"/>
        <w:rPr>
          <w:color w:val="auto"/>
        </w:rPr>
      </w:pPr>
    </w:p>
    <w:p w14:paraId="79EE18D8">
      <w:pPr>
        <w:ind w:firstLine="0" w:firstLineChars="0"/>
        <w:jc w:val="both"/>
        <w:rPr>
          <w:rFonts w:ascii="仿宋" w:hAnsi="仿宋" w:eastAsia="仿宋" w:cs="仿宋"/>
          <w:b/>
          <w:bCs/>
          <w:kern w:val="0"/>
          <w:sz w:val="24"/>
          <w:szCs w:val="24"/>
        </w:rPr>
      </w:pPr>
    </w:p>
    <w:p w14:paraId="3E3C17CC">
      <w:pPr>
        <w:ind w:firstLine="480"/>
        <w:rPr>
          <w:rFonts w:ascii="仿宋" w:hAnsi="仿宋" w:eastAsia="仿宋" w:cs="仿宋"/>
          <w:sz w:val="24"/>
          <w:szCs w:val="24"/>
        </w:rPr>
      </w:pPr>
    </w:p>
    <w:p w14:paraId="2269B45E">
      <w:pPr>
        <w:ind w:firstLine="420"/>
      </w:pPr>
    </w:p>
    <w:p w14:paraId="4C394A06">
      <w:pPr>
        <w:ind w:firstLine="420"/>
      </w:pPr>
    </w:p>
    <w:sectPr>
      <w:footerReference r:id="rId1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embedRegular r:id="rId1" w:fontKey="{9731A7F0-8A0B-46EE-9C32-8F31F02F0E29}"/>
  </w:font>
  <w:font w:name="新宋体">
    <w:panose1 w:val="02010609030101010101"/>
    <w:charset w:val="86"/>
    <w:family w:val="modern"/>
    <w:pitch w:val="default"/>
    <w:sig w:usb0="00000203" w:usb1="288F0000" w:usb2="00000006" w:usb3="00000000" w:csb0="00040001" w:csb1="00000000"/>
  </w:font>
  <w:font w:name="..ì.">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ksdb"/>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Bold">
    <w:altName w:val="Arial"/>
    <w:panose1 w:val="020B0704020202020204"/>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E36758BA-B9F0-41BB-A3E6-FBCB1555C0AA}"/>
  </w:font>
  <w:font w:name="仿宋">
    <w:panose1 w:val="02010609060101010101"/>
    <w:charset w:val="86"/>
    <w:family w:val="modern"/>
    <w:pitch w:val="default"/>
    <w:sig w:usb0="800002BF" w:usb1="38CF7CFA" w:usb2="00000016" w:usb3="00000000" w:csb0="00040001" w:csb1="00000000"/>
    <w:embedRegular r:id="rId3" w:fontKey="{7F25D5ED-39C1-4885-BBCC-0B454DE02116}"/>
  </w:font>
  <w:font w:name="楷体_GB2312">
    <w:panose1 w:val="02010609030101010101"/>
    <w:charset w:val="86"/>
    <w:family w:val="modern"/>
    <w:pitch w:val="default"/>
    <w:sig w:usb0="00000001" w:usb1="080E0000" w:usb2="00000000" w:usb3="00000000" w:csb0="00040000" w:csb1="00000000"/>
    <w:embedRegular r:id="rId4" w:fontKey="{DA46BBE8-13E2-421C-BA02-AF5B566D22C5}"/>
  </w:font>
  <w:font w:name="Yu Gothic UI">
    <w:panose1 w:val="020B0500000000000000"/>
    <w:charset w:val="80"/>
    <w:family w:val="auto"/>
    <w:pitch w:val="default"/>
    <w:sig w:usb0="E00002FF" w:usb1="2AC7FDFF" w:usb2="00000016" w:usb3="00000000" w:csb0="2002009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A401">
    <w:pPr>
      <w:pStyle w:val="2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96850"/>
              <wp:effectExtent l="0" t="0" r="0" b="0"/>
              <wp:wrapNone/>
              <wp:docPr id="10383980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wps:spPr>
                    <wps:txbx>
                      <w:txbxContent>
                        <w:p w14:paraId="2A712735">
                          <w:pPr>
                            <w:pStyle w:val="28"/>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5.5pt;width:22.55pt;mso-position-horizontal:center;mso-position-horizontal-relative:margin;mso-wrap-style:none;z-index:251661312;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SMWcfRAAAAAwEAAA8AAAAAAAAAAQAgAAAA&#10;IgAAAGRycy9kb3ducmV2LnhtbFBLAQIUABQAAAAIAIdO4kD7HT+8EgIAAAoEAAAOAAAAAAAAAAEA&#10;IAAAACABAABkcnMvZTJvRG9jLnhtbFBLBQYAAAAABgAGAFkBAACkBQAAAAA=&#10;">
              <v:fill on="f" focussize="0,0"/>
              <v:stroke on="f"/>
              <v:imagedata o:title=""/>
              <o:lock v:ext="edit" aspectratio="f"/>
              <v:textbox inset="0mm,0mm,0mm,0mm" style="mso-fit-shape-to-text:t;">
                <w:txbxContent>
                  <w:p w14:paraId="2A712735">
                    <w:pPr>
                      <w:pStyle w:val="2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83C9">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D382">
    <w:pPr>
      <w:pStyle w:val="2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3156">
    <w:pPr>
      <w:pStyle w:val="28"/>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96850"/>
              <wp:effectExtent l="0" t="0" r="0" b="0"/>
              <wp:wrapNone/>
              <wp:docPr id="139699230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7A57CB6F">
                          <w:pPr>
                            <w:pStyle w:val="28"/>
                            <w:ind w:firstLine="360"/>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5.5pt;width:27.05pt;mso-position-horizontal:center;mso-position-horizontal-relative:margin;mso-wrap-style:none;z-index:251662336;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2o66XRAAAAAwEAAA8AAAAAAAAAAQAgAAAA&#10;IgAAAGRycy9kb3ducmV2LnhtbFBLAQIUABQAAAAIAIdO4kD6NJQ4EgIAAAsEAAAOAAAAAAAAAAEA&#10;IAAAACABAABkcnMvZTJvRG9jLnhtbFBLBQYAAAAABgAGAFkBAACkBQAAAAA=&#10;">
              <v:fill on="f" focussize="0,0"/>
              <v:stroke on="f"/>
              <v:imagedata o:title=""/>
              <o:lock v:ext="edit" aspectratio="f"/>
              <v:textbox inset="0mm,0mm,0mm,0mm" style="mso-fit-shape-to-text:t;">
                <w:txbxContent>
                  <w:p w14:paraId="7A57CB6F">
                    <w:pPr>
                      <w:pStyle w:val="28"/>
                      <w:ind w:firstLine="36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2988429">
    <w:pPr>
      <w:pStyle w:val="28"/>
      <w:ind w:right="72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CB00">
    <w:pPr>
      <w:pStyle w:val="28"/>
      <w:ind w:right="72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1953454858"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wps:spPr>
                    <wps:txbx>
                      <w:txbxContent>
                        <w:p w14:paraId="3050E345">
                          <w:pPr>
                            <w:pStyle w:val="28"/>
                            <w:ind w:firstLine="360"/>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文本框 44"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2o66XRAAAAAwEAAA8AAAAAAAAA&#10;AQAgAAAAIgAAAGRycy9kb3ducmV2LnhtbFBLAQIUABQAAAAIAIdO4kB1KwusGAIAABoEAAAOAAAA&#10;AAAAAAEAIAAAACABAABkcnMvZTJvRG9jLnhtbFBLBQYAAAAABgAGAFkBAACqBQAAAAA=&#10;">
              <v:fill on="f" focussize="0,0"/>
              <v:stroke on="f"/>
              <v:imagedata o:title=""/>
              <o:lock v:ext="edit" aspectratio="f"/>
              <v:textbox inset="0mm,0mm,0mm,0mm" style="mso-fit-shape-to-text:t;">
                <w:txbxContent>
                  <w:p w14:paraId="3050E345">
                    <w:pPr>
                      <w:pStyle w:val="28"/>
                      <w:ind w:firstLine="36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6B2">
    <w:pPr>
      <w:pStyle w:val="28"/>
      <w:ind w:right="72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0" b="0"/>
              <wp:wrapNone/>
              <wp:docPr id="1500934167"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wps:spPr>
                    <wps:txbx>
                      <w:txbxContent>
                        <w:p w14:paraId="671A695B">
                          <w:pPr>
                            <w:pStyle w:val="28"/>
                            <w:ind w:firstLine="36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文本框 45" o:spid="_x0000_s1026" o:spt="202" type="#_x0000_t202" style="position:absolute;left:0pt;margin-top:0pt;height:15.5pt;width:27.05pt;mso-position-horizontal:center;mso-position-horizontal-relative:margin;mso-wrap-style:none;z-index:251660288;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2o66XRAAAAAwEAAA8AAAAAAAAA&#10;AQAgAAAAIgAAAGRycy9kb3ducmV2LnhtbFBLAQIUABQAAAAIAIdO4kBxYkzRGAIAABoEAAAOAAAA&#10;AAAAAAEAIAAAACABAABkcnMvZTJvRG9jLnhtbFBLBQYAAAAABgAGAFkBAACqBQAAAAA=&#10;">
              <v:fill on="f" focussize="0,0"/>
              <v:stroke on="f"/>
              <v:imagedata o:title=""/>
              <o:lock v:ext="edit" aspectratio="f"/>
              <v:textbox inset="0mm,0mm,0mm,0mm" style="mso-fit-shape-to-text:t;">
                <w:txbxContent>
                  <w:p w14:paraId="671A695B">
                    <w:pPr>
                      <w:pStyle w:val="28"/>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4819">
    <w:pPr>
      <w:pStyle w:val="28"/>
      <w:ind w:right="72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96850"/>
              <wp:effectExtent l="0" t="0" r="0" b="0"/>
              <wp:wrapNone/>
              <wp:docPr id="1869653912"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a:effectLst/>
                    </wps:spPr>
                    <wps:txbx>
                      <w:txbxContent>
                        <w:p w14:paraId="320C65F4">
                          <w:pPr>
                            <w:pStyle w:val="28"/>
                            <w:ind w:firstLine="36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文本框 45" o:spid="_x0000_s1026" o:spt="202" type="#_x0000_t202" style="position:absolute;left:0pt;margin-top:0pt;height:15.5pt;width:27.05pt;mso-position-horizontal:center;mso-position-horizontal-relative:margin;mso-wrap-style:none;z-index:251661312;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qOul0QAAAAMBAAAPAAAAAAAA&#10;AAEAIAAAACIAAABkcnMvZG93bnJldi54bWxQSwECFAAUAAAACACHTuJApEQH/hkCAAAaBAAADgAA&#10;AAAAAAABACAAAAAgAQAAZHJzL2Uyb0RvYy54bWxQSwUGAAAAAAYABgBZAQAAqwUAAAAA&#10;">
              <v:fill on="f" focussize="0,0"/>
              <v:stroke on="f"/>
              <v:imagedata o:title=""/>
              <o:lock v:ext="edit" aspectratio="f"/>
              <v:textbox inset="0mm,0mm,0mm,0mm" style="mso-fit-shape-to-text:t;">
                <w:txbxContent>
                  <w:p w14:paraId="320C65F4">
                    <w:pPr>
                      <w:pStyle w:val="28"/>
                      <w:ind w:firstLine="36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967E">
    <w:pPr>
      <w:pStyle w:val="30"/>
      <w:pBdr>
        <w:bottom w:val="none" w:color="auto" w:sz="0" w:space="1"/>
      </w:pBdr>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A18C">
    <w:pPr>
      <w:pStyle w:val="30"/>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E415">
    <w:pPr>
      <w:pStyle w:val="30"/>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82E0">
    <w:pPr>
      <w:pStyle w:val="30"/>
      <w:pBdr>
        <w:bottom w:val="none" w:color="auto" w:sz="0" w:space="1"/>
      </w:pBdr>
      <w:ind w:firstLine="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332FC"/>
    <w:multiLevelType w:val="singleLevel"/>
    <w:tmpl w:val="C50332FC"/>
    <w:lvl w:ilvl="0" w:tentative="0">
      <w:start w:val="3"/>
      <w:numFmt w:val="chineseCounting"/>
      <w:suff w:val="nothing"/>
      <w:lvlText w:val="%1、"/>
      <w:lvlJc w:val="left"/>
      <w:rPr>
        <w:rFonts w:hint="eastAsia"/>
      </w:rPr>
    </w:lvl>
  </w:abstractNum>
  <w:abstractNum w:abstractNumId="1">
    <w:nsid w:val="158D663D"/>
    <w:multiLevelType w:val="multilevel"/>
    <w:tmpl w:val="158D663D"/>
    <w:lvl w:ilvl="0" w:tentative="0">
      <w:start w:val="1"/>
      <w:numFmt w:val="none"/>
      <w:pStyle w:val="92"/>
      <w:suff w:val="nothing"/>
      <w:lvlText w:val="%1"/>
      <w:lvlJc w:val="left"/>
      <w:pPr>
        <w:ind w:left="0" w:firstLine="0"/>
      </w:pPr>
      <w:rPr>
        <w:rFonts w:hint="default" w:ascii="Arial" w:hAnsi="Arial" w:cs="Arial"/>
        <w:b w:val="0"/>
        <w:i w:val="0"/>
        <w:sz w:val="22"/>
        <w:szCs w:val="22"/>
      </w:rPr>
    </w:lvl>
    <w:lvl w:ilvl="1" w:tentative="0">
      <w:start w:val="1"/>
      <w:numFmt w:val="decimal"/>
      <w:lvlText w:val="%1%2)"/>
      <w:lvlJc w:val="left"/>
      <w:pPr>
        <w:tabs>
          <w:tab w:val="left" w:pos="432"/>
        </w:tabs>
        <w:ind w:left="432" w:hanging="432"/>
      </w:pPr>
      <w:rPr>
        <w:rFonts w:hint="default" w:ascii="Arial" w:hAnsi="Arial" w:cs="Arial"/>
        <w:b w:val="0"/>
        <w:i w:val="0"/>
        <w:sz w:val="22"/>
        <w:szCs w:val="22"/>
      </w:rPr>
    </w:lvl>
    <w:lvl w:ilvl="2" w:tentative="0">
      <w:start w:val="1"/>
      <w:numFmt w:val="lowerLetter"/>
      <w:lvlText w:val="%3%1)"/>
      <w:lvlJc w:val="left"/>
      <w:pPr>
        <w:tabs>
          <w:tab w:val="left" w:pos="864"/>
        </w:tabs>
        <w:ind w:left="864" w:hanging="432"/>
      </w:pPr>
      <w:rPr>
        <w:rFonts w:hint="default" w:ascii="Arial" w:hAnsi="Arial" w:cs="Arial"/>
        <w:b w:val="0"/>
        <w:i w:val="0"/>
        <w:sz w:val="22"/>
        <w:szCs w:val="22"/>
      </w:rPr>
    </w:lvl>
    <w:lvl w:ilvl="3" w:tentative="0">
      <w:start w:val="1"/>
      <w:numFmt w:val="lowerRoman"/>
      <w:lvlText w:val="%1%4)"/>
      <w:lvlJc w:val="left"/>
      <w:pPr>
        <w:tabs>
          <w:tab w:val="left" w:pos="1296"/>
        </w:tabs>
        <w:ind w:left="1296" w:hanging="432"/>
      </w:pPr>
      <w:rPr>
        <w:rFonts w:hint="default" w:ascii="Arial" w:hAnsi="Arial" w:cs="Arial"/>
        <w:b w:val="0"/>
        <w:i w:val="0"/>
        <w:sz w:val="22"/>
        <w:szCs w:val="22"/>
      </w:rPr>
    </w:lvl>
    <w:lvl w:ilvl="4" w:tentative="0">
      <w:start w:val="1"/>
      <w:numFmt w:val="decimal"/>
      <w:lvlText w:val="%1"/>
      <w:lvlJc w:val="left"/>
      <w:pPr>
        <w:tabs>
          <w:tab w:val="left" w:pos="1800"/>
        </w:tabs>
        <w:ind w:left="1800" w:hanging="1800"/>
      </w:pPr>
      <w:rPr>
        <w:rFonts w:hint="default" w:ascii="Arial" w:hAnsi="Arial" w:cs="Arial"/>
        <w:b/>
        <w:i w:val="0"/>
        <w:sz w:val="22"/>
        <w:szCs w:val="22"/>
      </w:rPr>
    </w:lvl>
    <w:lvl w:ilvl="5" w:tentative="0">
      <w:start w:val="1"/>
      <w:numFmt w:val="decimal"/>
      <w:lvlText w:val="%6%1"/>
      <w:lvlJc w:val="left"/>
      <w:pPr>
        <w:tabs>
          <w:tab w:val="left" w:pos="0"/>
        </w:tabs>
        <w:ind w:left="0" w:firstLine="0"/>
      </w:pPr>
      <w:rPr>
        <w:rFonts w:hint="default" w:ascii="Arial Bold" w:hAnsi="Arial Bold"/>
        <w:b/>
        <w:i w:val="0"/>
        <w:iCs w:val="0"/>
        <w:strike w:val="0"/>
        <w:dstrike w:val="0"/>
        <w:vanish w:val="0"/>
        <w:color w:val="000000"/>
        <w:spacing w:val="0"/>
        <w:position w:val="0"/>
        <w:sz w:val="22"/>
        <w:szCs w:val="22"/>
        <w:u w:val="none"/>
        <w:vertAlign w:val="baseline"/>
      </w:rPr>
    </w:lvl>
    <w:lvl w:ilvl="6" w:tentative="0">
      <w:start w:val="1"/>
      <w:numFmt w:val="decimal"/>
      <w:lvlText w:val="%7%1"/>
      <w:lvlJc w:val="left"/>
      <w:pPr>
        <w:tabs>
          <w:tab w:val="left" w:pos="0"/>
        </w:tabs>
        <w:ind w:left="0" w:firstLine="0"/>
      </w:pPr>
      <w:rPr>
        <w:rFonts w:hint="default"/>
      </w:rPr>
    </w:lvl>
    <w:lvl w:ilvl="7" w:tentative="0">
      <w:start w:val="1"/>
      <w:numFmt w:val="decimal"/>
      <w:lvlText w:val="%8%1"/>
      <w:lvlJc w:val="left"/>
      <w:pPr>
        <w:tabs>
          <w:tab w:val="left" w:pos="0"/>
        </w:tabs>
        <w:ind w:left="0" w:firstLine="0"/>
      </w:pPr>
      <w:rPr>
        <w:rFonts w:hint="default"/>
      </w:rPr>
    </w:lvl>
    <w:lvl w:ilvl="8" w:tentative="0">
      <w:start w:val="1"/>
      <w:numFmt w:val="decimal"/>
      <w:lvlText w:val="%9%1"/>
      <w:lvlJc w:val="left"/>
      <w:pPr>
        <w:tabs>
          <w:tab w:val="left" w:pos="0"/>
        </w:tabs>
        <w:ind w:left="0" w:firstLine="0"/>
      </w:pPr>
      <w:rPr>
        <w:rFonts w:hint="default"/>
      </w:rPr>
    </w:lvl>
  </w:abstractNum>
  <w:abstractNum w:abstractNumId="2">
    <w:nsid w:val="2D81592B"/>
    <w:multiLevelType w:val="multilevel"/>
    <w:tmpl w:val="2D81592B"/>
    <w:lvl w:ilvl="0" w:tentative="0">
      <w:start w:val="1"/>
      <w:numFmt w:val="japaneseCounting"/>
      <w:lvlText w:val="%1、"/>
      <w:lvlJc w:val="left"/>
      <w:pPr>
        <w:ind w:left="651" w:hanging="651"/>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9354011"/>
    <w:multiLevelType w:val="multilevel"/>
    <w:tmpl w:val="39354011"/>
    <w:lvl w:ilvl="0" w:tentative="0">
      <w:start w:val="2"/>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66958DCC"/>
    <w:multiLevelType w:val="singleLevel"/>
    <w:tmpl w:val="66958DCC"/>
    <w:lvl w:ilvl="0" w:tentative="0">
      <w:start w:val="1"/>
      <w:numFmt w:val="bullet"/>
      <w:pStyle w:val="16"/>
      <w:lvlText w:val=""/>
      <w:lvlJc w:val="left"/>
      <w:pPr>
        <w:tabs>
          <w:tab w:val="left" w:pos="780"/>
        </w:tabs>
        <w:ind w:left="7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yNTIzMTQ2NGZjMDI5MzBjYWIxY2VhMzljODJkNGIifQ=="/>
    <w:docVar w:name="KSO_WPS_MARK_KEY" w:val="d5a7736a-2859-447d-bebf-50b96d32fd40"/>
  </w:docVars>
  <w:rsids>
    <w:rsidRoot w:val="00172A27"/>
    <w:rsid w:val="000121B4"/>
    <w:rsid w:val="000136F5"/>
    <w:rsid w:val="000573FB"/>
    <w:rsid w:val="000653B1"/>
    <w:rsid w:val="00066031"/>
    <w:rsid w:val="00085DE7"/>
    <w:rsid w:val="00094911"/>
    <w:rsid w:val="000B5365"/>
    <w:rsid w:val="000E7F68"/>
    <w:rsid w:val="001234BF"/>
    <w:rsid w:val="001257A9"/>
    <w:rsid w:val="0013289F"/>
    <w:rsid w:val="001333A4"/>
    <w:rsid w:val="00172A27"/>
    <w:rsid w:val="0019404C"/>
    <w:rsid w:val="001B1A90"/>
    <w:rsid w:val="0021380B"/>
    <w:rsid w:val="0021456B"/>
    <w:rsid w:val="00267F0D"/>
    <w:rsid w:val="0028317D"/>
    <w:rsid w:val="00295240"/>
    <w:rsid w:val="002953E7"/>
    <w:rsid w:val="002A4219"/>
    <w:rsid w:val="002C0EA5"/>
    <w:rsid w:val="002F07E6"/>
    <w:rsid w:val="002F3E21"/>
    <w:rsid w:val="0030674C"/>
    <w:rsid w:val="00346124"/>
    <w:rsid w:val="003532C2"/>
    <w:rsid w:val="00390D4A"/>
    <w:rsid w:val="003A2351"/>
    <w:rsid w:val="003B4301"/>
    <w:rsid w:val="003B6B9C"/>
    <w:rsid w:val="003C060E"/>
    <w:rsid w:val="003D7ED2"/>
    <w:rsid w:val="003F7836"/>
    <w:rsid w:val="00404AE0"/>
    <w:rsid w:val="00411AE9"/>
    <w:rsid w:val="00414DBE"/>
    <w:rsid w:val="004367DE"/>
    <w:rsid w:val="00456DBE"/>
    <w:rsid w:val="004B4B6D"/>
    <w:rsid w:val="004B5F5B"/>
    <w:rsid w:val="004C2FE3"/>
    <w:rsid w:val="004E7795"/>
    <w:rsid w:val="004F666F"/>
    <w:rsid w:val="005066C1"/>
    <w:rsid w:val="0052243C"/>
    <w:rsid w:val="00533AB7"/>
    <w:rsid w:val="00552DCC"/>
    <w:rsid w:val="00573206"/>
    <w:rsid w:val="00576B8A"/>
    <w:rsid w:val="00591B5A"/>
    <w:rsid w:val="005A03D5"/>
    <w:rsid w:val="005C0FCC"/>
    <w:rsid w:val="005D16DB"/>
    <w:rsid w:val="005D1CFE"/>
    <w:rsid w:val="0062574B"/>
    <w:rsid w:val="00637FC8"/>
    <w:rsid w:val="0067459D"/>
    <w:rsid w:val="00674FF0"/>
    <w:rsid w:val="006A6C25"/>
    <w:rsid w:val="006E27D7"/>
    <w:rsid w:val="006E7007"/>
    <w:rsid w:val="00711DCA"/>
    <w:rsid w:val="007157C8"/>
    <w:rsid w:val="0076146F"/>
    <w:rsid w:val="0077699D"/>
    <w:rsid w:val="007B1F7E"/>
    <w:rsid w:val="007B6868"/>
    <w:rsid w:val="007D0D95"/>
    <w:rsid w:val="007E4703"/>
    <w:rsid w:val="007E62D8"/>
    <w:rsid w:val="00837F19"/>
    <w:rsid w:val="00840006"/>
    <w:rsid w:val="00881C81"/>
    <w:rsid w:val="00883820"/>
    <w:rsid w:val="00887288"/>
    <w:rsid w:val="0089668C"/>
    <w:rsid w:val="008A3515"/>
    <w:rsid w:val="008A65E2"/>
    <w:rsid w:val="008C34CA"/>
    <w:rsid w:val="008C5227"/>
    <w:rsid w:val="008F2EA5"/>
    <w:rsid w:val="008F6214"/>
    <w:rsid w:val="009071D7"/>
    <w:rsid w:val="00930727"/>
    <w:rsid w:val="00964988"/>
    <w:rsid w:val="009670C5"/>
    <w:rsid w:val="00974F0D"/>
    <w:rsid w:val="0098388D"/>
    <w:rsid w:val="00987EB8"/>
    <w:rsid w:val="009C5DB1"/>
    <w:rsid w:val="009D44EE"/>
    <w:rsid w:val="009D69C1"/>
    <w:rsid w:val="00A24F5A"/>
    <w:rsid w:val="00A344A0"/>
    <w:rsid w:val="00A4194E"/>
    <w:rsid w:val="00A43079"/>
    <w:rsid w:val="00A52313"/>
    <w:rsid w:val="00A915E5"/>
    <w:rsid w:val="00A95884"/>
    <w:rsid w:val="00AA1616"/>
    <w:rsid w:val="00B220F9"/>
    <w:rsid w:val="00B2304E"/>
    <w:rsid w:val="00B319ED"/>
    <w:rsid w:val="00B35F9D"/>
    <w:rsid w:val="00B541DB"/>
    <w:rsid w:val="00B63925"/>
    <w:rsid w:val="00B84FD8"/>
    <w:rsid w:val="00B95DC5"/>
    <w:rsid w:val="00BA5B20"/>
    <w:rsid w:val="00C04A96"/>
    <w:rsid w:val="00C312A2"/>
    <w:rsid w:val="00C369D1"/>
    <w:rsid w:val="00C61EFE"/>
    <w:rsid w:val="00C72BA4"/>
    <w:rsid w:val="00C83284"/>
    <w:rsid w:val="00CB7685"/>
    <w:rsid w:val="00D02CDF"/>
    <w:rsid w:val="00D16F4A"/>
    <w:rsid w:val="00D36D42"/>
    <w:rsid w:val="00D43638"/>
    <w:rsid w:val="00D5450C"/>
    <w:rsid w:val="00D916AA"/>
    <w:rsid w:val="00D92D6B"/>
    <w:rsid w:val="00DB2F71"/>
    <w:rsid w:val="00DB7653"/>
    <w:rsid w:val="00DF141C"/>
    <w:rsid w:val="00E047A8"/>
    <w:rsid w:val="00E1700F"/>
    <w:rsid w:val="00E30AF5"/>
    <w:rsid w:val="00E52418"/>
    <w:rsid w:val="00E53A38"/>
    <w:rsid w:val="00E80204"/>
    <w:rsid w:val="00EA3B4F"/>
    <w:rsid w:val="00EA448C"/>
    <w:rsid w:val="00EB2940"/>
    <w:rsid w:val="00EB5064"/>
    <w:rsid w:val="00EB524D"/>
    <w:rsid w:val="00EC0EFB"/>
    <w:rsid w:val="00EC2178"/>
    <w:rsid w:val="00ED639C"/>
    <w:rsid w:val="00F3370F"/>
    <w:rsid w:val="00F41E6F"/>
    <w:rsid w:val="00F64BC5"/>
    <w:rsid w:val="00F66AA5"/>
    <w:rsid w:val="00FA753B"/>
    <w:rsid w:val="00FB7FF6"/>
    <w:rsid w:val="00FD5BB3"/>
    <w:rsid w:val="00FD609B"/>
    <w:rsid w:val="00FE6076"/>
    <w:rsid w:val="00FE60A4"/>
    <w:rsid w:val="01023C34"/>
    <w:rsid w:val="010D7DD7"/>
    <w:rsid w:val="01506DD2"/>
    <w:rsid w:val="016E7293"/>
    <w:rsid w:val="018613A3"/>
    <w:rsid w:val="01CF3E6B"/>
    <w:rsid w:val="01D5409A"/>
    <w:rsid w:val="01E04E7D"/>
    <w:rsid w:val="02261C62"/>
    <w:rsid w:val="023B4E4C"/>
    <w:rsid w:val="02477318"/>
    <w:rsid w:val="02F81A3C"/>
    <w:rsid w:val="0374413D"/>
    <w:rsid w:val="039B4076"/>
    <w:rsid w:val="03E714AC"/>
    <w:rsid w:val="04476BC4"/>
    <w:rsid w:val="045C06C4"/>
    <w:rsid w:val="04854128"/>
    <w:rsid w:val="05D709B3"/>
    <w:rsid w:val="065010B0"/>
    <w:rsid w:val="070F776D"/>
    <w:rsid w:val="074B2D67"/>
    <w:rsid w:val="076E5A8E"/>
    <w:rsid w:val="07E1185A"/>
    <w:rsid w:val="07F3288A"/>
    <w:rsid w:val="07FA2A9F"/>
    <w:rsid w:val="08071A24"/>
    <w:rsid w:val="08777BE0"/>
    <w:rsid w:val="08971C45"/>
    <w:rsid w:val="08F40F83"/>
    <w:rsid w:val="0920109D"/>
    <w:rsid w:val="09684744"/>
    <w:rsid w:val="09A84AD9"/>
    <w:rsid w:val="09C600AF"/>
    <w:rsid w:val="09FE0C04"/>
    <w:rsid w:val="0A9F39C6"/>
    <w:rsid w:val="0AA21C8D"/>
    <w:rsid w:val="0AE81118"/>
    <w:rsid w:val="0AEE48D4"/>
    <w:rsid w:val="0B15647B"/>
    <w:rsid w:val="0C2772EA"/>
    <w:rsid w:val="0C6F6547"/>
    <w:rsid w:val="0C844E54"/>
    <w:rsid w:val="0CD21B57"/>
    <w:rsid w:val="0D5C3D92"/>
    <w:rsid w:val="0E2844A2"/>
    <w:rsid w:val="0E4C695B"/>
    <w:rsid w:val="0E72571D"/>
    <w:rsid w:val="0EAE57F7"/>
    <w:rsid w:val="0EC91537"/>
    <w:rsid w:val="0ECA6484"/>
    <w:rsid w:val="0EDF2F52"/>
    <w:rsid w:val="0EF66235"/>
    <w:rsid w:val="0F5B4403"/>
    <w:rsid w:val="0F7A4598"/>
    <w:rsid w:val="0F7D6CDF"/>
    <w:rsid w:val="0F8B2A6F"/>
    <w:rsid w:val="0FAB7138"/>
    <w:rsid w:val="0FC20E97"/>
    <w:rsid w:val="1005731A"/>
    <w:rsid w:val="103618CD"/>
    <w:rsid w:val="105A290D"/>
    <w:rsid w:val="10A9203B"/>
    <w:rsid w:val="10AA73F0"/>
    <w:rsid w:val="10AB12C6"/>
    <w:rsid w:val="10B94211"/>
    <w:rsid w:val="10C0186E"/>
    <w:rsid w:val="10D47789"/>
    <w:rsid w:val="110C008E"/>
    <w:rsid w:val="112E645F"/>
    <w:rsid w:val="114A2981"/>
    <w:rsid w:val="11B423B2"/>
    <w:rsid w:val="11C52D4B"/>
    <w:rsid w:val="122B630F"/>
    <w:rsid w:val="123C78EA"/>
    <w:rsid w:val="128E0FD0"/>
    <w:rsid w:val="12A30276"/>
    <w:rsid w:val="13436919"/>
    <w:rsid w:val="13EE43C3"/>
    <w:rsid w:val="14053B5A"/>
    <w:rsid w:val="140557D8"/>
    <w:rsid w:val="14077056"/>
    <w:rsid w:val="14386BCE"/>
    <w:rsid w:val="144B2B5E"/>
    <w:rsid w:val="145810EC"/>
    <w:rsid w:val="14B702A4"/>
    <w:rsid w:val="14CA63AE"/>
    <w:rsid w:val="14EB7FD7"/>
    <w:rsid w:val="14F52658"/>
    <w:rsid w:val="15C745A0"/>
    <w:rsid w:val="16495417"/>
    <w:rsid w:val="165949C8"/>
    <w:rsid w:val="16C35A6D"/>
    <w:rsid w:val="170B2D8B"/>
    <w:rsid w:val="172717F0"/>
    <w:rsid w:val="17496DD6"/>
    <w:rsid w:val="177C5161"/>
    <w:rsid w:val="17D9680D"/>
    <w:rsid w:val="17EB6C6C"/>
    <w:rsid w:val="17FB2C27"/>
    <w:rsid w:val="188C359B"/>
    <w:rsid w:val="18B13A73"/>
    <w:rsid w:val="18E003C7"/>
    <w:rsid w:val="18E87EDF"/>
    <w:rsid w:val="195B53E8"/>
    <w:rsid w:val="19FD6D2D"/>
    <w:rsid w:val="1B1D280F"/>
    <w:rsid w:val="1B356A81"/>
    <w:rsid w:val="1B486183"/>
    <w:rsid w:val="1B5A7C48"/>
    <w:rsid w:val="1BC752FA"/>
    <w:rsid w:val="1BFD2526"/>
    <w:rsid w:val="1C30217A"/>
    <w:rsid w:val="1C8D410C"/>
    <w:rsid w:val="1CA41763"/>
    <w:rsid w:val="1CA7512B"/>
    <w:rsid w:val="1CBB2985"/>
    <w:rsid w:val="1CE71BFB"/>
    <w:rsid w:val="1CF52C3A"/>
    <w:rsid w:val="1D1125A5"/>
    <w:rsid w:val="1D3239DF"/>
    <w:rsid w:val="1D631052"/>
    <w:rsid w:val="1D8319C9"/>
    <w:rsid w:val="1DA70A4E"/>
    <w:rsid w:val="1DD53BBC"/>
    <w:rsid w:val="1E0D34E0"/>
    <w:rsid w:val="1E60331A"/>
    <w:rsid w:val="1E617CA6"/>
    <w:rsid w:val="1E6654CC"/>
    <w:rsid w:val="1ECD4970"/>
    <w:rsid w:val="1F00466F"/>
    <w:rsid w:val="1F3A6442"/>
    <w:rsid w:val="20104D96"/>
    <w:rsid w:val="201E672F"/>
    <w:rsid w:val="202F5647"/>
    <w:rsid w:val="20627200"/>
    <w:rsid w:val="207275CA"/>
    <w:rsid w:val="20F20EA7"/>
    <w:rsid w:val="20FD4E75"/>
    <w:rsid w:val="21373363"/>
    <w:rsid w:val="215D04AF"/>
    <w:rsid w:val="218876F9"/>
    <w:rsid w:val="21EB5FF5"/>
    <w:rsid w:val="22464244"/>
    <w:rsid w:val="22536014"/>
    <w:rsid w:val="22C828C7"/>
    <w:rsid w:val="22FE7FD2"/>
    <w:rsid w:val="22FF31A7"/>
    <w:rsid w:val="23514B06"/>
    <w:rsid w:val="2367028E"/>
    <w:rsid w:val="23722FA4"/>
    <w:rsid w:val="23A26197"/>
    <w:rsid w:val="23BD161F"/>
    <w:rsid w:val="241C6A54"/>
    <w:rsid w:val="242A7888"/>
    <w:rsid w:val="24314319"/>
    <w:rsid w:val="24431BDE"/>
    <w:rsid w:val="244C558E"/>
    <w:rsid w:val="245D53AE"/>
    <w:rsid w:val="25510933"/>
    <w:rsid w:val="2580570A"/>
    <w:rsid w:val="2648358C"/>
    <w:rsid w:val="264A7253"/>
    <w:rsid w:val="264E4745"/>
    <w:rsid w:val="26505FC4"/>
    <w:rsid w:val="26627C6E"/>
    <w:rsid w:val="267C0B23"/>
    <w:rsid w:val="26A742F1"/>
    <w:rsid w:val="26CF6B9A"/>
    <w:rsid w:val="26F15A73"/>
    <w:rsid w:val="277A68D1"/>
    <w:rsid w:val="277D3B82"/>
    <w:rsid w:val="27A667D7"/>
    <w:rsid w:val="27B74F86"/>
    <w:rsid w:val="27BA0391"/>
    <w:rsid w:val="27C638C0"/>
    <w:rsid w:val="27CC1EEA"/>
    <w:rsid w:val="292648AA"/>
    <w:rsid w:val="29491BB8"/>
    <w:rsid w:val="296D0386"/>
    <w:rsid w:val="2A7A1EC4"/>
    <w:rsid w:val="2AB44737"/>
    <w:rsid w:val="2AFF40F2"/>
    <w:rsid w:val="2B304E37"/>
    <w:rsid w:val="2B8A00F2"/>
    <w:rsid w:val="2BE40389"/>
    <w:rsid w:val="2C2F10D4"/>
    <w:rsid w:val="2C451089"/>
    <w:rsid w:val="2D1242B7"/>
    <w:rsid w:val="2D8B24FB"/>
    <w:rsid w:val="2E54573B"/>
    <w:rsid w:val="2E76670C"/>
    <w:rsid w:val="2EB77450"/>
    <w:rsid w:val="2EFF4D56"/>
    <w:rsid w:val="2F336E3C"/>
    <w:rsid w:val="2F464330"/>
    <w:rsid w:val="2F927575"/>
    <w:rsid w:val="2FA83AB9"/>
    <w:rsid w:val="2FBF2DDD"/>
    <w:rsid w:val="301B57BD"/>
    <w:rsid w:val="30455AEC"/>
    <w:rsid w:val="3082085A"/>
    <w:rsid w:val="30A92DC8"/>
    <w:rsid w:val="30FC114A"/>
    <w:rsid w:val="311D7312"/>
    <w:rsid w:val="31250404"/>
    <w:rsid w:val="31396983"/>
    <w:rsid w:val="31AD092C"/>
    <w:rsid w:val="320C6F87"/>
    <w:rsid w:val="32666077"/>
    <w:rsid w:val="330465D2"/>
    <w:rsid w:val="33705886"/>
    <w:rsid w:val="33CA23EB"/>
    <w:rsid w:val="34BC5E70"/>
    <w:rsid w:val="34DF500B"/>
    <w:rsid w:val="35445FAE"/>
    <w:rsid w:val="35487054"/>
    <w:rsid w:val="354C6D80"/>
    <w:rsid w:val="354D2834"/>
    <w:rsid w:val="35514F7A"/>
    <w:rsid w:val="358677AD"/>
    <w:rsid w:val="35A3072E"/>
    <w:rsid w:val="35CB1A33"/>
    <w:rsid w:val="35EF515E"/>
    <w:rsid w:val="36F255D2"/>
    <w:rsid w:val="3707229E"/>
    <w:rsid w:val="376F0ACC"/>
    <w:rsid w:val="3772660A"/>
    <w:rsid w:val="37D83F93"/>
    <w:rsid w:val="37EF26E5"/>
    <w:rsid w:val="37F619ED"/>
    <w:rsid w:val="385E26EA"/>
    <w:rsid w:val="38653A79"/>
    <w:rsid w:val="38C2096A"/>
    <w:rsid w:val="38D13BAD"/>
    <w:rsid w:val="38F237DE"/>
    <w:rsid w:val="39062D93"/>
    <w:rsid w:val="39935992"/>
    <w:rsid w:val="3A3A5F9E"/>
    <w:rsid w:val="3A744447"/>
    <w:rsid w:val="3A85056B"/>
    <w:rsid w:val="3AC053A4"/>
    <w:rsid w:val="3AF37A62"/>
    <w:rsid w:val="3B732122"/>
    <w:rsid w:val="3BBA23D3"/>
    <w:rsid w:val="3BD62E27"/>
    <w:rsid w:val="3C0A2DC2"/>
    <w:rsid w:val="3CDB0612"/>
    <w:rsid w:val="3CFC7B86"/>
    <w:rsid w:val="3D3A4547"/>
    <w:rsid w:val="3D477BF1"/>
    <w:rsid w:val="3DC21BD0"/>
    <w:rsid w:val="3DD3114F"/>
    <w:rsid w:val="3DFE0B23"/>
    <w:rsid w:val="3E342DF1"/>
    <w:rsid w:val="3E4A2A81"/>
    <w:rsid w:val="3E65304C"/>
    <w:rsid w:val="3F1104B7"/>
    <w:rsid w:val="3F131B01"/>
    <w:rsid w:val="3F3E5EA9"/>
    <w:rsid w:val="3F6610A9"/>
    <w:rsid w:val="3FB56B6F"/>
    <w:rsid w:val="3FBC1F55"/>
    <w:rsid w:val="3FF54173"/>
    <w:rsid w:val="40492477"/>
    <w:rsid w:val="404D61D0"/>
    <w:rsid w:val="4081490E"/>
    <w:rsid w:val="410E7481"/>
    <w:rsid w:val="41635CCA"/>
    <w:rsid w:val="41D91B52"/>
    <w:rsid w:val="41E95AA2"/>
    <w:rsid w:val="41F02E1B"/>
    <w:rsid w:val="42E12EC5"/>
    <w:rsid w:val="42EB101F"/>
    <w:rsid w:val="43994FCC"/>
    <w:rsid w:val="43AA5445"/>
    <w:rsid w:val="43B74246"/>
    <w:rsid w:val="43C477D3"/>
    <w:rsid w:val="43EB1FE3"/>
    <w:rsid w:val="4402220D"/>
    <w:rsid w:val="441A605F"/>
    <w:rsid w:val="444066D4"/>
    <w:rsid w:val="445C3498"/>
    <w:rsid w:val="4467501D"/>
    <w:rsid w:val="447460A7"/>
    <w:rsid w:val="448353FC"/>
    <w:rsid w:val="45353488"/>
    <w:rsid w:val="45E42C1A"/>
    <w:rsid w:val="45F30582"/>
    <w:rsid w:val="46057EF0"/>
    <w:rsid w:val="466E61EE"/>
    <w:rsid w:val="469A1E17"/>
    <w:rsid w:val="46F30DEA"/>
    <w:rsid w:val="470D5A07"/>
    <w:rsid w:val="471F4BFA"/>
    <w:rsid w:val="47735529"/>
    <w:rsid w:val="479F7C01"/>
    <w:rsid w:val="47BB36B5"/>
    <w:rsid w:val="47E43027"/>
    <w:rsid w:val="48000480"/>
    <w:rsid w:val="48571184"/>
    <w:rsid w:val="48914416"/>
    <w:rsid w:val="48E128AF"/>
    <w:rsid w:val="48F86290"/>
    <w:rsid w:val="48FB1A36"/>
    <w:rsid w:val="494F4FF5"/>
    <w:rsid w:val="49F27137"/>
    <w:rsid w:val="49F92273"/>
    <w:rsid w:val="4A0923DF"/>
    <w:rsid w:val="4A4E06E5"/>
    <w:rsid w:val="4A826450"/>
    <w:rsid w:val="4ACA6304"/>
    <w:rsid w:val="4AEF6430"/>
    <w:rsid w:val="4B3B78E8"/>
    <w:rsid w:val="4B5736F5"/>
    <w:rsid w:val="4B7E2B15"/>
    <w:rsid w:val="4B8D6E83"/>
    <w:rsid w:val="4BE13F93"/>
    <w:rsid w:val="4BEE3B62"/>
    <w:rsid w:val="4C291E0B"/>
    <w:rsid w:val="4CEA0551"/>
    <w:rsid w:val="4E361EDF"/>
    <w:rsid w:val="4E775E5C"/>
    <w:rsid w:val="4E7B594C"/>
    <w:rsid w:val="4EB9429F"/>
    <w:rsid w:val="4FB84678"/>
    <w:rsid w:val="501F7143"/>
    <w:rsid w:val="50A601EA"/>
    <w:rsid w:val="50FC6A15"/>
    <w:rsid w:val="51014CA7"/>
    <w:rsid w:val="520C6411"/>
    <w:rsid w:val="52555CE7"/>
    <w:rsid w:val="528C3BC3"/>
    <w:rsid w:val="52B33B45"/>
    <w:rsid w:val="52C06024"/>
    <w:rsid w:val="53167FF5"/>
    <w:rsid w:val="53542865"/>
    <w:rsid w:val="53E47AF0"/>
    <w:rsid w:val="553D07A0"/>
    <w:rsid w:val="554A2F57"/>
    <w:rsid w:val="557C72D4"/>
    <w:rsid w:val="55D01AD3"/>
    <w:rsid w:val="568D7615"/>
    <w:rsid w:val="56DE116E"/>
    <w:rsid w:val="57201787"/>
    <w:rsid w:val="57295B58"/>
    <w:rsid w:val="579B63D7"/>
    <w:rsid w:val="57CC5B87"/>
    <w:rsid w:val="57EB4D9C"/>
    <w:rsid w:val="58144A9A"/>
    <w:rsid w:val="58460A1F"/>
    <w:rsid w:val="584E249F"/>
    <w:rsid w:val="588D4BFA"/>
    <w:rsid w:val="591D71CF"/>
    <w:rsid w:val="59304A60"/>
    <w:rsid w:val="59822250"/>
    <w:rsid w:val="59E56670"/>
    <w:rsid w:val="5A432838"/>
    <w:rsid w:val="5A6B0659"/>
    <w:rsid w:val="5ACA0E33"/>
    <w:rsid w:val="5B204CE4"/>
    <w:rsid w:val="5B310781"/>
    <w:rsid w:val="5B3354A7"/>
    <w:rsid w:val="5B6339F0"/>
    <w:rsid w:val="5B9330A5"/>
    <w:rsid w:val="5BA22541"/>
    <w:rsid w:val="5BCC190F"/>
    <w:rsid w:val="5C055F13"/>
    <w:rsid w:val="5C0E6052"/>
    <w:rsid w:val="5C1628E9"/>
    <w:rsid w:val="5C261DF7"/>
    <w:rsid w:val="5CB91433"/>
    <w:rsid w:val="5CB945FC"/>
    <w:rsid w:val="5D225B77"/>
    <w:rsid w:val="5D8E56EF"/>
    <w:rsid w:val="5DD10F21"/>
    <w:rsid w:val="5E01598B"/>
    <w:rsid w:val="5E8D43C1"/>
    <w:rsid w:val="5F0279C4"/>
    <w:rsid w:val="5F034C6F"/>
    <w:rsid w:val="5F1C2722"/>
    <w:rsid w:val="5F602F3B"/>
    <w:rsid w:val="5F6366B5"/>
    <w:rsid w:val="601C1E0A"/>
    <w:rsid w:val="60367C09"/>
    <w:rsid w:val="606D065E"/>
    <w:rsid w:val="60F877AE"/>
    <w:rsid w:val="611C2337"/>
    <w:rsid w:val="613D270C"/>
    <w:rsid w:val="61DA7B4A"/>
    <w:rsid w:val="61FD19E9"/>
    <w:rsid w:val="62331A51"/>
    <w:rsid w:val="62662272"/>
    <w:rsid w:val="626F3954"/>
    <w:rsid w:val="62CD38A9"/>
    <w:rsid w:val="62D44340"/>
    <w:rsid w:val="63205712"/>
    <w:rsid w:val="638010CF"/>
    <w:rsid w:val="63C934FD"/>
    <w:rsid w:val="64283CA0"/>
    <w:rsid w:val="64337B90"/>
    <w:rsid w:val="644B7897"/>
    <w:rsid w:val="64D24668"/>
    <w:rsid w:val="64D9589D"/>
    <w:rsid w:val="64FE574A"/>
    <w:rsid w:val="6582360D"/>
    <w:rsid w:val="658A4304"/>
    <w:rsid w:val="658F00ED"/>
    <w:rsid w:val="65A81050"/>
    <w:rsid w:val="65CF5CEF"/>
    <w:rsid w:val="66762288"/>
    <w:rsid w:val="67650AF0"/>
    <w:rsid w:val="67AC2BC3"/>
    <w:rsid w:val="67B74F33"/>
    <w:rsid w:val="68344C4B"/>
    <w:rsid w:val="68843A52"/>
    <w:rsid w:val="68F91E38"/>
    <w:rsid w:val="696D283E"/>
    <w:rsid w:val="696F20FA"/>
    <w:rsid w:val="69836FD4"/>
    <w:rsid w:val="69CD7092"/>
    <w:rsid w:val="69DC4DC4"/>
    <w:rsid w:val="6AA9734A"/>
    <w:rsid w:val="6ADB4251"/>
    <w:rsid w:val="6AF2587D"/>
    <w:rsid w:val="6B166ED9"/>
    <w:rsid w:val="6B8017DA"/>
    <w:rsid w:val="6C03649F"/>
    <w:rsid w:val="6C0624E5"/>
    <w:rsid w:val="6C2D1FAE"/>
    <w:rsid w:val="6C2D2428"/>
    <w:rsid w:val="6C7F7D34"/>
    <w:rsid w:val="6C900186"/>
    <w:rsid w:val="6CE4764C"/>
    <w:rsid w:val="6D235C4B"/>
    <w:rsid w:val="6D5532B3"/>
    <w:rsid w:val="6DA00AD4"/>
    <w:rsid w:val="6DD52512"/>
    <w:rsid w:val="6E301E58"/>
    <w:rsid w:val="6E8E6B7E"/>
    <w:rsid w:val="6F0D636E"/>
    <w:rsid w:val="6F107F60"/>
    <w:rsid w:val="6F974650"/>
    <w:rsid w:val="6FC1094B"/>
    <w:rsid w:val="705E2D1B"/>
    <w:rsid w:val="70B70114"/>
    <w:rsid w:val="70C26FB3"/>
    <w:rsid w:val="70EE4C92"/>
    <w:rsid w:val="71147718"/>
    <w:rsid w:val="715776FB"/>
    <w:rsid w:val="719570EB"/>
    <w:rsid w:val="72CA4EFF"/>
    <w:rsid w:val="72DB3774"/>
    <w:rsid w:val="74BD4055"/>
    <w:rsid w:val="74BF4DF9"/>
    <w:rsid w:val="74D06143"/>
    <w:rsid w:val="74D379E1"/>
    <w:rsid w:val="750432CA"/>
    <w:rsid w:val="751258A9"/>
    <w:rsid w:val="751B3BFC"/>
    <w:rsid w:val="7539091C"/>
    <w:rsid w:val="754461E9"/>
    <w:rsid w:val="75553E68"/>
    <w:rsid w:val="75750A98"/>
    <w:rsid w:val="757A336D"/>
    <w:rsid w:val="75BB3B8F"/>
    <w:rsid w:val="76312C11"/>
    <w:rsid w:val="76A01A54"/>
    <w:rsid w:val="76BB46B6"/>
    <w:rsid w:val="76FA74A7"/>
    <w:rsid w:val="77272837"/>
    <w:rsid w:val="77752D05"/>
    <w:rsid w:val="77781FAE"/>
    <w:rsid w:val="77A967D7"/>
    <w:rsid w:val="77BD0CB3"/>
    <w:rsid w:val="77CA24A3"/>
    <w:rsid w:val="785513C5"/>
    <w:rsid w:val="786F3B51"/>
    <w:rsid w:val="78770C6D"/>
    <w:rsid w:val="78A37970"/>
    <w:rsid w:val="78A95882"/>
    <w:rsid w:val="78C36127"/>
    <w:rsid w:val="78E61333"/>
    <w:rsid w:val="798C2118"/>
    <w:rsid w:val="799515DE"/>
    <w:rsid w:val="79961EF8"/>
    <w:rsid w:val="799F5980"/>
    <w:rsid w:val="7A2028F6"/>
    <w:rsid w:val="7A385870"/>
    <w:rsid w:val="7A581262"/>
    <w:rsid w:val="7A6D1D3E"/>
    <w:rsid w:val="7A8F603F"/>
    <w:rsid w:val="7AEB308C"/>
    <w:rsid w:val="7BE115A8"/>
    <w:rsid w:val="7BFF2608"/>
    <w:rsid w:val="7C573B71"/>
    <w:rsid w:val="7C813642"/>
    <w:rsid w:val="7C827F8A"/>
    <w:rsid w:val="7CC4213C"/>
    <w:rsid w:val="7CEB087B"/>
    <w:rsid w:val="7D065264"/>
    <w:rsid w:val="7D2918D8"/>
    <w:rsid w:val="7D624406"/>
    <w:rsid w:val="7DDC172F"/>
    <w:rsid w:val="7DEB3724"/>
    <w:rsid w:val="7DF05F92"/>
    <w:rsid w:val="7E5F3C0F"/>
    <w:rsid w:val="7E834226"/>
    <w:rsid w:val="7EB556DE"/>
    <w:rsid w:val="7FA742B3"/>
    <w:rsid w:val="7FD36F57"/>
    <w:rsid w:val="7FF2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249" w:firstLineChars="200"/>
    </w:pPr>
    <w:rPr>
      <w:rFonts w:ascii="Times New Roman" w:hAnsi="Times New Roman" w:eastAsia="宋体" w:cs="Times New Roman"/>
      <w:kern w:val="2"/>
      <w:sz w:val="21"/>
      <w:lang w:val="en-US" w:eastAsia="zh-CN" w:bidi="ar-SA"/>
    </w:rPr>
  </w:style>
  <w:style w:type="paragraph" w:styleId="3">
    <w:name w:val="heading 1"/>
    <w:basedOn w:val="1"/>
    <w:next w:val="1"/>
    <w:link w:val="49"/>
    <w:qFormat/>
    <w:uiPriority w:val="0"/>
    <w:pPr>
      <w:ind w:firstLine="0" w:firstLineChars="0"/>
      <w:jc w:val="center"/>
      <w:outlineLvl w:val="0"/>
    </w:pPr>
    <w:rPr>
      <w:b/>
      <w:color w:val="000000"/>
      <w:sz w:val="32"/>
    </w:rPr>
  </w:style>
  <w:style w:type="paragraph" w:styleId="4">
    <w:name w:val="heading 2"/>
    <w:basedOn w:val="1"/>
    <w:next w:val="1"/>
    <w:link w:val="50"/>
    <w:qFormat/>
    <w:uiPriority w:val="0"/>
    <w:pPr>
      <w:keepNext/>
      <w:keepLines/>
      <w:autoSpaceDE w:val="0"/>
      <w:autoSpaceDN w:val="0"/>
      <w:adjustRightInd w:val="0"/>
      <w:jc w:val="center"/>
      <w:outlineLvl w:val="1"/>
    </w:pPr>
    <w:rPr>
      <w:rFonts w:ascii="楷体" w:hAnsi="楷体" w:eastAsia="Calibri"/>
      <w:b/>
      <w:sz w:val="32"/>
      <w:szCs w:val="30"/>
    </w:rPr>
  </w:style>
  <w:style w:type="paragraph" w:styleId="5">
    <w:name w:val="heading 3"/>
    <w:basedOn w:val="1"/>
    <w:next w:val="1"/>
    <w:link w:val="51"/>
    <w:qFormat/>
    <w:uiPriority w:val="0"/>
    <w:pPr>
      <w:keepNext/>
      <w:keepLines/>
      <w:ind w:firstLine="0" w:firstLineChars="0"/>
      <w:jc w:val="center"/>
      <w:outlineLvl w:val="2"/>
    </w:pPr>
    <w:rPr>
      <w:b/>
      <w:sz w:val="32"/>
      <w:szCs w:val="28"/>
    </w:rPr>
  </w:style>
  <w:style w:type="paragraph" w:styleId="6">
    <w:name w:val="heading 4"/>
    <w:basedOn w:val="1"/>
    <w:next w:val="1"/>
    <w:qFormat/>
    <w:uiPriority w:val="9"/>
    <w:pPr>
      <w:keepNext/>
      <w:keepLines/>
      <w:spacing w:before="280" w:after="290" w:line="376" w:lineRule="atLeast"/>
      <w:outlineLvl w:val="3"/>
    </w:pPr>
    <w:rPr>
      <w:rFonts w:ascii="楷体" w:hAnsi="楷体" w:eastAsia="Calibri" w:cs="Courier New"/>
      <w:b/>
      <w:bCs/>
      <w:sz w:val="28"/>
      <w:szCs w:val="28"/>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6"/>
    <w:qFormat/>
    <w:uiPriority w:val="99"/>
    <w:pPr>
      <w:spacing w:line="400" w:lineRule="exact"/>
      <w:ind w:left="425"/>
    </w:pPr>
    <w:rPr>
      <w:color w:val="000000"/>
      <w:sz w:val="24"/>
    </w:rPr>
  </w:style>
  <w:style w:type="paragraph" w:styleId="7">
    <w:name w:val="toc 7"/>
    <w:basedOn w:val="1"/>
    <w:next w:val="1"/>
    <w:unhideWhenUsed/>
    <w:qFormat/>
    <w:uiPriority w:val="39"/>
    <w:pPr>
      <w:ind w:left="2520" w:leftChars="1200"/>
    </w:pPr>
  </w:style>
  <w:style w:type="paragraph" w:styleId="8">
    <w:name w:val="E-mail Signature"/>
    <w:basedOn w:val="1"/>
    <w:next w:val="9"/>
    <w:qFormat/>
    <w:uiPriority w:val="0"/>
    <w:pPr>
      <w:topLinePunct/>
      <w:adjustRightInd w:val="0"/>
      <w:ind w:firstLine="200"/>
    </w:pPr>
    <w:rPr>
      <w:rFonts w:ascii="华文细黑" w:hAnsi="Arial" w:eastAsia="华文细黑"/>
      <w:sz w:val="24"/>
    </w:rPr>
  </w:style>
  <w:style w:type="paragraph" w:customStyle="1" w:styleId="9">
    <w:name w:val="文章"/>
    <w:basedOn w:val="10"/>
    <w:next w:val="15"/>
    <w:qFormat/>
    <w:uiPriority w:val="0"/>
    <w:pPr>
      <w:tabs>
        <w:tab w:val="left" w:pos="1080"/>
      </w:tabs>
      <w:ind w:firstLine="480"/>
      <w:jc w:val="center"/>
    </w:pPr>
    <w:rPr>
      <w:sz w:val="26"/>
      <w:szCs w:val="22"/>
    </w:rPr>
  </w:style>
  <w:style w:type="paragraph" w:styleId="10">
    <w:name w:val="Body Text Indent"/>
    <w:basedOn w:val="1"/>
    <w:next w:val="11"/>
    <w:qFormat/>
    <w:uiPriority w:val="0"/>
    <w:pPr>
      <w:ind w:left="360" w:firstLine="420" w:firstLineChars="150"/>
      <w:jc w:val="both"/>
    </w:pPr>
    <w:rPr>
      <w:rFonts w:hint="eastAsia" w:ascii="新宋体" w:eastAsia="新宋体"/>
      <w:sz w:val="24"/>
      <w:szCs w:val="24"/>
    </w:rPr>
  </w:style>
  <w:style w:type="paragraph" w:styleId="11">
    <w:name w:val="Body Text"/>
    <w:basedOn w:val="1"/>
    <w:next w:val="12"/>
    <w:link w:val="52"/>
    <w:qFormat/>
    <w:uiPriority w:val="99"/>
    <w:pPr>
      <w:spacing w:after="120"/>
    </w:pPr>
    <w:rPr>
      <w:rFonts w:hint="eastAsia" w:ascii="新宋体" w:eastAsia="新宋体"/>
      <w:sz w:val="24"/>
      <w:szCs w:val="24"/>
    </w:rPr>
  </w:style>
  <w:style w:type="paragraph" w:customStyle="1" w:styleId="12">
    <w:name w:val="Default"/>
    <w:basedOn w:val="13"/>
    <w:next w:val="14"/>
    <w:qFormat/>
    <w:uiPriority w:val="99"/>
    <w:pPr>
      <w:autoSpaceDE w:val="0"/>
      <w:autoSpaceDN w:val="0"/>
      <w:adjustRightInd w:val="0"/>
    </w:pPr>
    <w:rPr>
      <w:rFonts w:cs="宋体"/>
      <w:color w:val="000000"/>
      <w:sz w:val="24"/>
      <w:szCs w:val="24"/>
    </w:rPr>
  </w:style>
  <w:style w:type="paragraph" w:customStyle="1" w:styleId="13">
    <w:name w:val="纯文本1"/>
    <w:basedOn w:val="1"/>
    <w:qFormat/>
    <w:uiPriority w:val="0"/>
    <w:rPr>
      <w:rFonts w:ascii="宋体" w:hAnsi="宋体" w:cs="Courier New"/>
      <w:kern w:val="0"/>
      <w:szCs w:val="21"/>
    </w:rPr>
  </w:style>
  <w:style w:type="paragraph" w:styleId="14">
    <w:name w:val="index 7"/>
    <w:basedOn w:val="1"/>
    <w:next w:val="1"/>
    <w:unhideWhenUsed/>
    <w:qFormat/>
    <w:uiPriority w:val="99"/>
    <w:pPr>
      <w:ind w:left="2520"/>
    </w:pPr>
    <w:rPr>
      <w:rFonts w:ascii="Calibri" w:hAnsi="Calibri"/>
    </w:rPr>
  </w:style>
  <w:style w:type="paragraph" w:styleId="15">
    <w:name w:val="List"/>
    <w:basedOn w:val="1"/>
    <w:next w:val="16"/>
    <w:qFormat/>
    <w:uiPriority w:val="0"/>
    <w:pPr>
      <w:ind w:left="200" w:hanging="200" w:hangingChars="200"/>
    </w:pPr>
  </w:style>
  <w:style w:type="paragraph" w:styleId="16">
    <w:name w:val="List Bullet 2"/>
    <w:basedOn w:val="1"/>
    <w:next w:val="17"/>
    <w:qFormat/>
    <w:uiPriority w:val="0"/>
    <w:pPr>
      <w:numPr>
        <w:ilvl w:val="0"/>
        <w:numId w:val="1"/>
      </w:numPr>
    </w:pPr>
  </w:style>
  <w:style w:type="paragraph" w:customStyle="1" w:styleId="17">
    <w:name w:val="xl70"/>
    <w:basedOn w:val="1"/>
    <w:next w:val="18"/>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8">
    <w:name w:val="正文缩进1"/>
    <w:basedOn w:val="1"/>
    <w:next w:val="19"/>
    <w:qFormat/>
    <w:uiPriority w:val="0"/>
    <w:pPr>
      <w:spacing w:beforeLines="50" w:afterLines="50"/>
      <w:ind w:firstLine="1048" w:firstLineChars="435"/>
      <w:jc w:val="center"/>
    </w:pPr>
    <w:rPr>
      <w:rFonts w:ascii="宋体" w:hAnsi="宋体"/>
      <w:b/>
      <w:bCs/>
      <w:color w:val="000000"/>
      <w:kern w:val="24"/>
      <w:sz w:val="24"/>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Normal Indent"/>
    <w:basedOn w:val="1"/>
    <w:qFormat/>
    <w:uiPriority w:val="0"/>
    <w:pPr>
      <w:autoSpaceDE w:val="0"/>
      <w:autoSpaceDN w:val="0"/>
      <w:adjustRightInd w:val="0"/>
      <w:ind w:firstLine="420"/>
    </w:pPr>
    <w:rPr>
      <w:rFonts w:ascii="Calibri" w:hAnsi="Courier New" w:eastAsia="Calibri" w:cs="Courier New"/>
      <w:kern w:val="0"/>
      <w:sz w:val="24"/>
    </w:rPr>
  </w:style>
  <w:style w:type="paragraph" w:styleId="21">
    <w:name w:val="caption"/>
    <w:basedOn w:val="1"/>
    <w:next w:val="1"/>
    <w:qFormat/>
    <w:uiPriority w:val="35"/>
    <w:rPr>
      <w:rFonts w:ascii="楷体" w:hAnsi="楷体" w:eastAsia="..ì." w:cs="Courier New"/>
      <w:sz w:val="20"/>
    </w:r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53"/>
    <w:qFormat/>
    <w:uiPriority w:val="0"/>
  </w:style>
  <w:style w:type="paragraph" w:styleId="24">
    <w:name w:val="toc 3"/>
    <w:basedOn w:val="1"/>
    <w:next w:val="1"/>
    <w:qFormat/>
    <w:uiPriority w:val="0"/>
    <w:pPr>
      <w:ind w:left="840" w:leftChars="400"/>
    </w:pPr>
  </w:style>
  <w:style w:type="paragraph" w:styleId="25">
    <w:name w:val="Plain Text"/>
    <w:basedOn w:val="1"/>
    <w:qFormat/>
    <w:uiPriority w:val="0"/>
    <w:pPr>
      <w:jc w:val="both"/>
    </w:pPr>
    <w:rPr>
      <w:rFonts w:ascii="Calibri" w:hAnsi="等线 Light" w:eastAsia="Calibri" w:cs="Courier New"/>
      <w:szCs w:val="21"/>
    </w:rPr>
  </w:style>
  <w:style w:type="paragraph" w:styleId="26">
    <w:name w:val="Date"/>
    <w:basedOn w:val="1"/>
    <w:next w:val="1"/>
    <w:link w:val="54"/>
    <w:qFormat/>
    <w:uiPriority w:val="0"/>
    <w:pPr>
      <w:ind w:left="100" w:leftChars="2500"/>
    </w:pPr>
  </w:style>
  <w:style w:type="paragraph" w:styleId="27">
    <w:name w:val="Balloon Text"/>
    <w:basedOn w:val="1"/>
    <w:link w:val="55"/>
    <w:qFormat/>
    <w:uiPriority w:val="0"/>
    <w:rPr>
      <w:sz w:val="18"/>
      <w:szCs w:val="18"/>
    </w:rPr>
  </w:style>
  <w:style w:type="paragraph" w:styleId="28">
    <w:name w:val="footer"/>
    <w:basedOn w:val="1"/>
    <w:link w:val="56"/>
    <w:qFormat/>
    <w:uiPriority w:val="0"/>
    <w:pPr>
      <w:tabs>
        <w:tab w:val="center" w:pos="4153"/>
        <w:tab w:val="right" w:pos="8306"/>
      </w:tabs>
      <w:snapToGrid w:val="0"/>
    </w:pPr>
    <w:rPr>
      <w:sz w:val="18"/>
    </w:rPr>
  </w:style>
  <w:style w:type="paragraph" w:styleId="29">
    <w:name w:val="envelope return"/>
    <w:basedOn w:val="1"/>
    <w:qFormat/>
    <w:uiPriority w:val="0"/>
    <w:pPr>
      <w:snapToGrid w:val="0"/>
    </w:pPr>
    <w:rPr>
      <w:rFonts w:ascii="Microsoft JhengHei" w:hAnsi="Microsoft JhengHei"/>
      <w:szCs w:val="24"/>
    </w:rPr>
  </w:style>
  <w:style w:type="paragraph" w:styleId="30">
    <w:name w:val="header"/>
    <w:basedOn w:val="1"/>
    <w:qFormat/>
    <w:uiPriority w:val="0"/>
    <w:pPr>
      <w:pBdr>
        <w:bottom w:val="single" w:color="auto" w:sz="6" w:space="1"/>
      </w:pBdr>
      <w:tabs>
        <w:tab w:val="center" w:pos="4153"/>
        <w:tab w:val="right" w:pos="8306"/>
      </w:tabs>
      <w:snapToGrid w:val="0"/>
      <w:jc w:val="center"/>
    </w:pPr>
    <w:rPr>
      <w:rFonts w:hint="eastAsia" w:ascii="新宋体" w:eastAsia="新宋体"/>
      <w:sz w:val="18"/>
      <w:szCs w:val="18"/>
    </w:rPr>
  </w:style>
  <w:style w:type="paragraph" w:styleId="31">
    <w:name w:val="toc 1"/>
    <w:basedOn w:val="1"/>
    <w:next w:val="1"/>
    <w:qFormat/>
    <w:uiPriority w:val="0"/>
  </w:style>
  <w:style w:type="paragraph" w:styleId="32">
    <w:name w:val="Subtitle"/>
    <w:basedOn w:val="1"/>
    <w:next w:val="1"/>
    <w:qFormat/>
    <w:uiPriority w:val="0"/>
    <w:pPr>
      <w:tabs>
        <w:tab w:val="left" w:pos="420"/>
      </w:tabs>
      <w:spacing w:before="240" w:after="60" w:line="312" w:lineRule="auto"/>
      <w:outlineLvl w:val="1"/>
    </w:pPr>
    <w:rPr>
      <w:rFonts w:ascii="Cambria" w:hAnsi="Cambria" w:cs="Cambria"/>
      <w:b/>
      <w:bCs/>
      <w:sz w:val="24"/>
      <w:szCs w:val="32"/>
    </w:rPr>
  </w:style>
  <w:style w:type="paragraph" w:styleId="33">
    <w:name w:val="footnote text"/>
    <w:basedOn w:val="1"/>
    <w:unhideWhenUsed/>
    <w:qFormat/>
    <w:uiPriority w:val="99"/>
    <w:pPr>
      <w:snapToGrid w:val="0"/>
    </w:pPr>
    <w:rPr>
      <w:sz w:val="18"/>
    </w:rPr>
  </w:style>
  <w:style w:type="paragraph" w:styleId="34">
    <w:name w:val="Body Text Indent 3"/>
    <w:basedOn w:val="1"/>
    <w:qFormat/>
    <w:uiPriority w:val="0"/>
    <w:pPr>
      <w:autoSpaceDE w:val="0"/>
      <w:autoSpaceDN w:val="0"/>
      <w:adjustRightInd w:val="0"/>
      <w:spacing w:before="120" w:line="22" w:lineRule="atLeast"/>
      <w:ind w:left="720" w:firstLine="480"/>
    </w:pPr>
    <w:rPr>
      <w:rFonts w:ascii="宋体"/>
      <w:kern w:val="0"/>
      <w:sz w:val="24"/>
    </w:rPr>
  </w:style>
  <w:style w:type="paragraph" w:styleId="35">
    <w:name w:val="index 9"/>
    <w:basedOn w:val="1"/>
    <w:next w:val="1"/>
    <w:unhideWhenUsed/>
    <w:qFormat/>
    <w:uiPriority w:val="99"/>
    <w:pPr>
      <w:ind w:left="1600" w:leftChars="1600"/>
    </w:pPr>
  </w:style>
  <w:style w:type="paragraph" w:styleId="36">
    <w:name w:val="toc 2"/>
    <w:basedOn w:val="1"/>
    <w:next w:val="8"/>
    <w:qFormat/>
    <w:uiPriority w:val="0"/>
    <w:pPr>
      <w:ind w:left="420" w:leftChars="200"/>
    </w:pPr>
  </w:style>
  <w:style w:type="paragraph" w:styleId="37">
    <w:name w:val="Body Text 2"/>
    <w:basedOn w:val="1"/>
    <w:qFormat/>
    <w:uiPriority w:val="0"/>
    <w:pPr>
      <w:spacing w:after="120" w:line="480" w:lineRule="auto"/>
    </w:pPr>
  </w:style>
  <w:style w:type="paragraph" w:styleId="38">
    <w:name w:val="Normal (Web)"/>
    <w:basedOn w:val="1"/>
    <w:qFormat/>
    <w:uiPriority w:val="99"/>
    <w:pPr>
      <w:spacing w:before="100" w:beforeAutospacing="1" w:after="100" w:afterAutospacing="1"/>
    </w:pPr>
    <w:rPr>
      <w:rFonts w:ascii="Calibri" w:hAnsi="Calibri"/>
      <w:sz w:val="24"/>
    </w:rPr>
  </w:style>
  <w:style w:type="paragraph" w:styleId="39">
    <w:name w:val="annotation subject"/>
    <w:basedOn w:val="23"/>
    <w:next w:val="23"/>
    <w:link w:val="57"/>
    <w:qFormat/>
    <w:uiPriority w:val="0"/>
    <w:rPr>
      <w:b/>
      <w:bCs/>
    </w:rPr>
  </w:style>
  <w:style w:type="paragraph" w:styleId="40">
    <w:name w:val="Body Text First Indent"/>
    <w:basedOn w:val="11"/>
    <w:qFormat/>
    <w:uiPriority w:val="0"/>
    <w:pPr>
      <w:widowControl/>
      <w:spacing w:line="240" w:lineRule="auto"/>
      <w:ind w:firstLine="420" w:firstLineChars="100"/>
    </w:pPr>
    <w:rPr>
      <w:rFonts w:ascii="Courier New"/>
      <w:sz w:val="21"/>
    </w:rPr>
  </w:style>
  <w:style w:type="paragraph" w:styleId="41">
    <w:name w:val="Body Text First Indent 2"/>
    <w:basedOn w:val="10"/>
    <w:qFormat/>
    <w:uiPriority w:val="0"/>
    <w:pPr>
      <w:tabs>
        <w:tab w:val="left" w:pos="0"/>
      </w:tabs>
      <w:ind w:firstLine="200" w:firstLineChars="200"/>
    </w:pPr>
    <w:rPr>
      <w:rFonts w:hAnsi="等线"/>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qFormat/>
    <w:uiPriority w:val="0"/>
    <w:rPr>
      <w:rFonts w:cs="Courier New"/>
    </w:rPr>
  </w:style>
  <w:style w:type="character" w:styleId="47">
    <w:name w:val="Hyperlink"/>
    <w:qFormat/>
    <w:uiPriority w:val="0"/>
    <w:rPr>
      <w:color w:val="3D3D3D"/>
      <w:u w:val="none"/>
    </w:rPr>
  </w:style>
  <w:style w:type="character" w:styleId="48">
    <w:name w:val="annotation reference"/>
    <w:qFormat/>
    <w:uiPriority w:val="0"/>
    <w:rPr>
      <w:sz w:val="21"/>
      <w:szCs w:val="21"/>
    </w:rPr>
  </w:style>
  <w:style w:type="character" w:customStyle="1" w:styleId="49">
    <w:name w:val="标题 1 字符"/>
    <w:link w:val="3"/>
    <w:qFormat/>
    <w:uiPriority w:val="0"/>
    <w:rPr>
      <w:b/>
      <w:color w:val="000000"/>
      <w:sz w:val="32"/>
    </w:rPr>
  </w:style>
  <w:style w:type="character" w:customStyle="1" w:styleId="50">
    <w:name w:val="标题 2 字符"/>
    <w:link w:val="4"/>
    <w:qFormat/>
    <w:uiPriority w:val="0"/>
    <w:rPr>
      <w:rFonts w:ascii="楷体" w:hAnsi="楷体" w:eastAsia="Calibri"/>
      <w:b/>
      <w:kern w:val="2"/>
      <w:sz w:val="32"/>
      <w:szCs w:val="30"/>
      <w:lang w:val="en-US" w:eastAsia="zh-CN" w:bidi="ar-SA"/>
    </w:rPr>
  </w:style>
  <w:style w:type="character" w:customStyle="1" w:styleId="51">
    <w:name w:val="标题 3 字符"/>
    <w:link w:val="5"/>
    <w:qFormat/>
    <w:uiPriority w:val="0"/>
    <w:rPr>
      <w:b/>
      <w:sz w:val="32"/>
      <w:szCs w:val="28"/>
    </w:rPr>
  </w:style>
  <w:style w:type="character" w:customStyle="1" w:styleId="52">
    <w:name w:val="正文文本 字符"/>
    <w:link w:val="11"/>
    <w:qFormat/>
    <w:uiPriority w:val="99"/>
    <w:rPr>
      <w:rFonts w:ascii="新宋体" w:eastAsia="新宋体"/>
      <w:kern w:val="2"/>
      <w:sz w:val="24"/>
      <w:szCs w:val="24"/>
    </w:rPr>
  </w:style>
  <w:style w:type="character" w:customStyle="1" w:styleId="53">
    <w:name w:val="批注文字 字符"/>
    <w:link w:val="23"/>
    <w:qFormat/>
    <w:uiPriority w:val="0"/>
    <w:rPr>
      <w:kern w:val="2"/>
      <w:sz w:val="21"/>
    </w:rPr>
  </w:style>
  <w:style w:type="character" w:customStyle="1" w:styleId="54">
    <w:name w:val="日期 字符"/>
    <w:link w:val="26"/>
    <w:qFormat/>
    <w:uiPriority w:val="0"/>
    <w:rPr>
      <w:kern w:val="2"/>
      <w:sz w:val="21"/>
    </w:rPr>
  </w:style>
  <w:style w:type="character" w:customStyle="1" w:styleId="55">
    <w:name w:val="批注框文本 字符"/>
    <w:link w:val="27"/>
    <w:qFormat/>
    <w:uiPriority w:val="0"/>
    <w:rPr>
      <w:kern w:val="2"/>
      <w:sz w:val="18"/>
      <w:szCs w:val="18"/>
    </w:rPr>
  </w:style>
  <w:style w:type="character" w:customStyle="1" w:styleId="56">
    <w:name w:val="页脚 字符"/>
    <w:link w:val="28"/>
    <w:qFormat/>
    <w:uiPriority w:val="0"/>
    <w:rPr>
      <w:kern w:val="2"/>
      <w:sz w:val="18"/>
    </w:rPr>
  </w:style>
  <w:style w:type="character" w:customStyle="1" w:styleId="57">
    <w:name w:val="批注主题 字符"/>
    <w:link w:val="39"/>
    <w:qFormat/>
    <w:uiPriority w:val="0"/>
    <w:rPr>
      <w:b/>
      <w:bCs/>
      <w:kern w:val="2"/>
      <w:sz w:val="21"/>
    </w:rPr>
  </w:style>
  <w:style w:type="paragraph" w:customStyle="1" w:styleId="58">
    <w:name w:val="样式35"/>
    <w:basedOn w:val="59"/>
    <w:next w:val="64"/>
    <w:qFormat/>
    <w:uiPriority w:val="0"/>
    <w:pPr>
      <w:tabs>
        <w:tab w:val="left" w:pos="360"/>
        <w:tab w:val="left" w:pos="567"/>
        <w:tab w:val="left" w:pos="900"/>
        <w:tab w:val="left" w:pos="960"/>
        <w:tab w:val="left" w:pos="1320"/>
        <w:tab w:val="center" w:pos="4153"/>
        <w:tab w:val="right" w:pos="8306"/>
        <w:tab w:val="left" w:pos="8715"/>
      </w:tabs>
      <w:spacing w:line="312" w:lineRule="auto"/>
      <w:ind w:firstLine="567"/>
    </w:pPr>
    <w:rPr>
      <w:rFonts w:ascii="宋体" w:eastAsia="宋体"/>
      <w:kern w:val="2"/>
      <w:sz w:val="21"/>
      <w:szCs w:val="22"/>
    </w:rPr>
  </w:style>
  <w:style w:type="paragraph" w:customStyle="1" w:styleId="59">
    <w:name w:val="样式26"/>
    <w:basedOn w:val="60"/>
    <w:qFormat/>
    <w:uiPriority w:val="0"/>
    <w:pPr>
      <w:tabs>
        <w:tab w:val="left" w:pos="360"/>
        <w:tab w:val="left" w:pos="567"/>
        <w:tab w:val="left" w:pos="900"/>
        <w:tab w:val="left" w:pos="960"/>
        <w:tab w:val="left" w:pos="132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60">
    <w:name w:val="样式21"/>
    <w:basedOn w:val="61"/>
    <w:qFormat/>
    <w:uiPriority w:val="0"/>
    <w:pPr>
      <w:tabs>
        <w:tab w:val="left" w:pos="360"/>
        <w:tab w:val="left" w:pos="567"/>
        <w:tab w:val="left" w:pos="960"/>
        <w:tab w:val="left" w:pos="1320"/>
        <w:tab w:val="center" w:pos="4153"/>
        <w:tab w:val="right" w:pos="8306"/>
        <w:tab w:val="left" w:pos="8715"/>
      </w:tabs>
      <w:spacing w:beforeLines="0" w:afterLines="0"/>
      <w:ind w:hanging="992"/>
    </w:pPr>
  </w:style>
  <w:style w:type="paragraph" w:customStyle="1" w:styleId="61">
    <w:name w:val="样式5"/>
    <w:basedOn w:val="62"/>
    <w:qFormat/>
    <w:uiPriority w:val="0"/>
    <w:pPr>
      <w:tabs>
        <w:tab w:val="left" w:pos="360"/>
        <w:tab w:val="left" w:pos="4140"/>
      </w:tabs>
      <w:ind w:left="360"/>
      <w:outlineLvl w:val="4"/>
    </w:pPr>
    <w:rPr>
      <w:b w:val="0"/>
      <w:sz w:val="24"/>
      <w:szCs w:val="24"/>
    </w:rPr>
  </w:style>
  <w:style w:type="paragraph" w:customStyle="1" w:styleId="62">
    <w:name w:val="样式12"/>
    <w:basedOn w:val="63"/>
    <w:qFormat/>
    <w:uiPriority w:val="0"/>
    <w:pPr>
      <w:tabs>
        <w:tab w:val="left" w:pos="360"/>
        <w:tab w:val="left" w:pos="4140"/>
      </w:tabs>
      <w:spacing w:beforeLines="50" w:afterLines="50" w:line="360" w:lineRule="auto"/>
      <w:ind w:left="567" w:hanging="567"/>
      <w:outlineLvl w:val="1"/>
    </w:pPr>
    <w:rPr>
      <w:rFonts w:eastAsia="MS Mincho"/>
      <w:kern w:val="0"/>
      <w:sz w:val="28"/>
    </w:rPr>
  </w:style>
  <w:style w:type="paragraph" w:customStyle="1" w:styleId="63">
    <w:name w:val="样式 标题 3标题 3 Char标题3H3h33rd level第二层条三级标题ReHead 3 WSA头..."/>
    <w:basedOn w:val="5"/>
    <w:qFormat/>
    <w:uiPriority w:val="0"/>
    <w:pPr>
      <w:tabs>
        <w:tab w:val="left" w:pos="4140"/>
      </w:tabs>
      <w:spacing w:before="260" w:after="260" w:line="416" w:lineRule="auto"/>
      <w:ind w:left="4140" w:hanging="720"/>
    </w:pPr>
    <w:rPr>
      <w:color w:val="FF0000"/>
    </w:rPr>
  </w:style>
  <w:style w:type="paragraph" w:customStyle="1" w:styleId="64">
    <w:name w:val="font6"/>
    <w:basedOn w:val="1"/>
    <w:next w:val="36"/>
    <w:qFormat/>
    <w:uiPriority w:val="0"/>
    <w:pPr>
      <w:widowControl/>
      <w:spacing w:before="100" w:beforeAutospacing="1" w:after="100" w:afterAutospacing="1"/>
    </w:pPr>
    <w:rPr>
      <w:rFonts w:ascii="宋体" w:hAnsi="宋体" w:cs="宋体"/>
      <w:kern w:val="0"/>
      <w:sz w:val="20"/>
    </w:rPr>
  </w:style>
  <w:style w:type="paragraph" w:customStyle="1" w:styleId="65">
    <w:name w:val="四级标题"/>
    <w:basedOn w:val="26"/>
    <w:next w:val="30"/>
    <w:qFormat/>
    <w:uiPriority w:val="99"/>
    <w:pPr>
      <w:autoSpaceDE w:val="0"/>
      <w:autoSpaceDN w:val="0"/>
      <w:adjustRightInd w:val="0"/>
      <w:ind w:left="0" w:leftChars="0"/>
      <w:textAlignment w:val="baseline"/>
    </w:pPr>
    <w:rPr>
      <w:rFonts w:ascii="Calibri" w:eastAsia="..ì."/>
      <w:kern w:val="0"/>
      <w:sz w:val="24"/>
    </w:rPr>
  </w:style>
  <w:style w:type="character" w:customStyle="1" w:styleId="66">
    <w:name w:val="font81"/>
    <w:qFormat/>
    <w:uiPriority w:val="0"/>
    <w:rPr>
      <w:rFonts w:ascii="等线" w:hAnsi="等线" w:cs="等线"/>
      <w:color w:val="000000"/>
      <w:sz w:val="20"/>
      <w:szCs w:val="20"/>
      <w:u w:val="none"/>
    </w:rPr>
  </w:style>
  <w:style w:type="character" w:customStyle="1" w:styleId="67">
    <w:name w:val="font71"/>
    <w:qFormat/>
    <w:uiPriority w:val="0"/>
    <w:rPr>
      <w:rFonts w:ascii="等线" w:hAnsi="等线" w:cs="等线"/>
      <w:color w:val="000000"/>
      <w:sz w:val="20"/>
      <w:szCs w:val="20"/>
      <w:u w:val="none"/>
    </w:rPr>
  </w:style>
  <w:style w:type="character" w:customStyle="1" w:styleId="68">
    <w:name w:val="font41"/>
    <w:qFormat/>
    <w:uiPriority w:val="0"/>
    <w:rPr>
      <w:rFonts w:hint="default" w:ascii="新宋体" w:eastAsia="新宋体" w:cs="新宋体"/>
      <w:color w:val="FF0000"/>
      <w:sz w:val="24"/>
      <w:szCs w:val="24"/>
      <w:u w:val="none"/>
    </w:rPr>
  </w:style>
  <w:style w:type="character" w:customStyle="1" w:styleId="69">
    <w:name w:val="font51"/>
    <w:qFormat/>
    <w:uiPriority w:val="0"/>
    <w:rPr>
      <w:rFonts w:ascii="Cambria Math" w:hAnsi="Cambria Math" w:eastAsia="Cambria Math" w:cs="Cambria Math"/>
      <w:color w:val="000000"/>
      <w:sz w:val="22"/>
      <w:szCs w:val="22"/>
      <w:u w:val="none"/>
    </w:rPr>
  </w:style>
  <w:style w:type="character" w:customStyle="1" w:styleId="70">
    <w:name w:val="font31"/>
    <w:qFormat/>
    <w:uiPriority w:val="0"/>
    <w:rPr>
      <w:rFonts w:hint="eastAsia" w:ascii="Calibri" w:hAnsi="Calibri" w:eastAsia="Calibri" w:cs="Calibri"/>
      <w:color w:val="000000"/>
      <w:sz w:val="22"/>
      <w:szCs w:val="22"/>
      <w:u w:val="none"/>
      <w:vertAlign w:val="superscript"/>
    </w:rPr>
  </w:style>
  <w:style w:type="character" w:customStyle="1" w:styleId="71">
    <w:name w:val="NormalCharacter"/>
    <w:qFormat/>
    <w:uiPriority w:val="0"/>
  </w:style>
  <w:style w:type="character" w:customStyle="1" w:styleId="72">
    <w:name w:val="font01"/>
    <w:qFormat/>
    <w:uiPriority w:val="0"/>
    <w:rPr>
      <w:rFonts w:hint="eastAsia" w:ascii="Calibri" w:hAnsi="Calibri" w:eastAsia="Calibri" w:cs="Calibri"/>
      <w:color w:val="000000"/>
      <w:sz w:val="22"/>
      <w:szCs w:val="22"/>
      <w:u w:val="none"/>
    </w:rPr>
  </w:style>
  <w:style w:type="character" w:customStyle="1" w:styleId="73">
    <w:name w:val="font91"/>
    <w:qFormat/>
    <w:uiPriority w:val="0"/>
    <w:rPr>
      <w:rFonts w:ascii="等线" w:hAnsi="等线" w:cs="等线"/>
      <w:color w:val="000000"/>
      <w:sz w:val="20"/>
      <w:szCs w:val="20"/>
      <w:u w:val="none"/>
    </w:rPr>
  </w:style>
  <w:style w:type="character" w:customStyle="1" w:styleId="74">
    <w:name w:val="font61"/>
    <w:qFormat/>
    <w:uiPriority w:val="0"/>
    <w:rPr>
      <w:rFonts w:hint="eastAsia" w:ascii="Calibri" w:hAnsi="Calibri" w:eastAsia="Calibri" w:cs="Calibri"/>
      <w:color w:val="000000"/>
      <w:sz w:val="22"/>
      <w:szCs w:val="22"/>
      <w:u w:val="none"/>
      <w:vertAlign w:val="subscript"/>
    </w:rPr>
  </w:style>
  <w:style w:type="character" w:customStyle="1" w:styleId="75">
    <w:name w:val="font21"/>
    <w:qFormat/>
    <w:uiPriority w:val="0"/>
    <w:rPr>
      <w:rFonts w:hint="eastAsia" w:ascii="Calibri" w:hAnsi="Calibri" w:eastAsia="Calibri" w:cs="Calibri"/>
      <w:color w:val="000000"/>
      <w:sz w:val="20"/>
      <w:szCs w:val="20"/>
      <w:u w:val="none"/>
    </w:rPr>
  </w:style>
  <w:style w:type="paragraph" w:customStyle="1" w:styleId="76">
    <w:name w:val="Table Text"/>
    <w:basedOn w:val="1"/>
    <w:semiHidden/>
    <w:qFormat/>
    <w:uiPriority w:val="0"/>
    <w:rPr>
      <w:rFonts w:ascii="@仿宋" w:hAnsi="@仿宋" w:eastAsia="@仿宋" w:cs="@仿宋"/>
      <w:sz w:val="19"/>
      <w:szCs w:val="19"/>
      <w:lang w:eastAsia="en-US"/>
    </w:rPr>
  </w:style>
  <w:style w:type="paragraph" w:customStyle="1" w:styleId="77">
    <w:name w:val="WPSOffice手动目录 1"/>
    <w:qFormat/>
    <w:uiPriority w:val="0"/>
    <w:rPr>
      <w:rFonts w:ascii="Times New Roman" w:hAnsi="Times New Roman" w:eastAsia="宋体" w:cs="Times New Roman"/>
      <w:lang w:val="en-US" w:eastAsia="zh-CN" w:bidi="ar-SA"/>
    </w:rPr>
  </w:style>
  <w:style w:type="paragraph" w:customStyle="1" w:styleId="78">
    <w:name w:val="修订1"/>
    <w:unhideWhenUsed/>
    <w:qFormat/>
    <w:uiPriority w:val="99"/>
    <w:rPr>
      <w:rFonts w:ascii="Times New Roman" w:hAnsi="Times New Roman" w:eastAsia="宋体" w:cs="Times New Roman"/>
      <w:kern w:val="2"/>
      <w:sz w:val="21"/>
      <w:lang w:val="en-US" w:eastAsia="zh-CN" w:bidi="ar-SA"/>
    </w:rPr>
  </w:style>
  <w:style w:type="paragraph" w:customStyle="1" w:styleId="79">
    <w:name w:val="列表段落1"/>
    <w:basedOn w:val="1"/>
    <w:qFormat/>
    <w:uiPriority w:val="34"/>
    <w:pPr>
      <w:ind w:firstLine="420"/>
    </w:pPr>
  </w:style>
  <w:style w:type="paragraph" w:customStyle="1" w:styleId="80">
    <w:name w:val="Table Paragraph"/>
    <w:basedOn w:val="1"/>
    <w:qFormat/>
    <w:uiPriority w:val="1"/>
    <w:pPr>
      <w:autoSpaceDE w:val="0"/>
      <w:autoSpaceDN w:val="0"/>
    </w:pPr>
    <w:rPr>
      <w:rFonts w:ascii="Calibri" w:hAnsi="Calibri" w:cs="Calibri"/>
      <w:sz w:val="22"/>
      <w:szCs w:val="22"/>
      <w:lang w:eastAsia="en-US"/>
    </w:rPr>
  </w:style>
  <w:style w:type="paragraph" w:customStyle="1" w:styleId="8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Heading 71"/>
    <w:basedOn w:val="1"/>
    <w:qFormat/>
    <w:uiPriority w:val="0"/>
    <w:pPr>
      <w:outlineLvl w:val="7"/>
    </w:pPr>
    <w:rPr>
      <w:rFonts w:ascii="Cambria" w:hAnsi="Cambria" w:eastAsia="Cambria" w:cs="Cambria"/>
      <w:sz w:val="26"/>
      <w:szCs w:val="26"/>
    </w:rPr>
  </w:style>
  <w:style w:type="paragraph" w:customStyle="1" w:styleId="84">
    <w:name w:val="样式 首行缩进:  2 字符"/>
    <w:qFormat/>
    <w:uiPriority w:val="0"/>
    <w:pPr>
      <w:widowControl w:val="0"/>
      <w:spacing w:line="400" w:lineRule="exact"/>
      <w:ind w:firstLine="200" w:firstLineChars="200"/>
      <w:jc w:val="both"/>
    </w:pPr>
    <w:rPr>
      <w:rFonts w:ascii="Times New Roman" w:hAnsi="Times New Roman" w:eastAsia="宋体" w:cs="Times New Roman"/>
      <w:sz w:val="24"/>
      <w:lang w:val="en-US" w:eastAsia="zh-CN" w:bidi="ar-SA"/>
    </w:rPr>
  </w:style>
  <w:style w:type="paragraph" w:customStyle="1" w:styleId="85">
    <w:name w:val="列出段落1"/>
    <w:basedOn w:val="1"/>
    <w:unhideWhenUsed/>
    <w:qFormat/>
    <w:uiPriority w:val="34"/>
    <w:pPr>
      <w:ind w:firstLine="420"/>
    </w:pPr>
  </w:style>
  <w:style w:type="paragraph" w:customStyle="1" w:styleId="86">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87">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88">
    <w:name w:val="NormalIndent"/>
    <w:basedOn w:val="1"/>
    <w:qFormat/>
    <w:uiPriority w:val="0"/>
    <w:pPr>
      <w:ind w:firstLine="420"/>
      <w:textAlignment w:val="baseline"/>
    </w:pPr>
    <w:rPr>
      <w:rFonts w:ascii="Courier New" w:hAnsi="Courier New"/>
    </w:rPr>
  </w:style>
  <w:style w:type="paragraph" w:customStyle="1" w:styleId="89">
    <w:name w:val="表格正文"/>
    <w:basedOn w:val="1"/>
    <w:qFormat/>
    <w:uiPriority w:val="0"/>
    <w:pPr>
      <w:spacing w:line="240" w:lineRule="auto"/>
    </w:pPr>
    <w:rPr>
      <w:rFonts w:cs="Calibri"/>
      <w:color w:val="000000"/>
      <w:kern w:val="0"/>
      <w:sz w:val="18"/>
      <w:szCs w:val="21"/>
    </w:rPr>
  </w:style>
  <w:style w:type="character" w:customStyle="1" w:styleId="90">
    <w:name w:val="font101"/>
    <w:qFormat/>
    <w:uiPriority w:val="0"/>
    <w:rPr>
      <w:rFonts w:hint="eastAsia" w:ascii="Calibri" w:hAnsi="Calibri" w:eastAsia="Calibri" w:cs="Calibri"/>
      <w:color w:val="000000"/>
      <w:sz w:val="20"/>
      <w:szCs w:val="20"/>
      <w:u w:val="none"/>
      <w:vertAlign w:val="superscript"/>
    </w:rPr>
  </w:style>
  <w:style w:type="character" w:customStyle="1" w:styleId="91">
    <w:name w:val="font11"/>
    <w:qFormat/>
    <w:uiPriority w:val="0"/>
    <w:rPr>
      <w:rFonts w:hint="eastAsia" w:ascii="等线" w:hAnsi="等线" w:eastAsia="等线" w:cs="等线"/>
      <w:color w:val="000000"/>
      <w:sz w:val="20"/>
      <w:szCs w:val="20"/>
      <w:u w:val="none"/>
    </w:rPr>
  </w:style>
  <w:style w:type="paragraph" w:customStyle="1" w:styleId="92">
    <w:name w:val="EM Body Text"/>
    <w:basedOn w:val="1"/>
    <w:qFormat/>
    <w:uiPriority w:val="0"/>
    <w:pPr>
      <w:widowControl/>
      <w:numPr>
        <w:ilvl w:val="0"/>
        <w:numId w:val="2"/>
      </w:numPr>
      <w:spacing w:before="120" w:after="120"/>
    </w:pPr>
    <w:rPr>
      <w:rFonts w:ascii="Arial" w:hAnsi="Arial" w:eastAsia="华文宋体"/>
      <w:kern w:val="0"/>
      <w:sz w:val="22"/>
    </w:rPr>
  </w:style>
  <w:style w:type="paragraph" w:customStyle="1" w:styleId="93">
    <w:name w:val="PlainText"/>
    <w:basedOn w:val="1"/>
    <w:qFormat/>
    <w:uiPriority w:val="6"/>
    <w:rPr>
      <w:rFonts w:ascii="宋体" w:hAnsi="宋体" w:cs="Courier New"/>
      <w:kern w:val="0"/>
      <w:szCs w:val="21"/>
    </w:rPr>
  </w:style>
  <w:style w:type="paragraph" w:customStyle="1" w:styleId="94">
    <w:name w:val="普通(网站)1"/>
    <w:basedOn w:val="1"/>
    <w:qFormat/>
    <w:uiPriority w:val="2"/>
    <w:pPr>
      <w:widowControl/>
      <w:spacing w:before="100" w:after="100"/>
    </w:pPr>
    <w:rPr>
      <w:rFonts w:ascii="宋体" w:hAnsi="宋体"/>
      <w:kern w:val="0"/>
      <w:sz w:val="24"/>
    </w:rPr>
  </w:style>
  <w:style w:type="paragraph" w:styleId="95">
    <w:name w:val="List Paragraph"/>
    <w:basedOn w:val="1"/>
    <w:qFormat/>
    <w:uiPriority w:val="99"/>
    <w:pPr>
      <w:ind w:firstLine="420"/>
    </w:pPr>
  </w:style>
  <w:style w:type="character" w:customStyle="1" w:styleId="96">
    <w:name w:val="正文文本缩进 2 字符"/>
    <w:basedOn w:val="44"/>
    <w:link w:val="2"/>
    <w:qFormat/>
    <w:uiPriority w:val="99"/>
    <w:rPr>
      <w:color w:val="00000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9512</Words>
  <Characters>10196</Characters>
  <Lines>96</Lines>
  <Paragraphs>27</Paragraphs>
  <TotalTime>21</TotalTime>
  <ScaleCrop>false</ScaleCrop>
  <LinksUpToDate>false</LinksUpToDate>
  <CharactersWithSpaces>10312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2025-08-15T01:34:00Z</dcterms:created>
  <dc:creator>xiaofei li</dc:creator>
  <cp:lastModifiedBy>邓三妹</cp:lastModifiedBy>
  <cp:lastPrinted>2025-07-29T01:05:00Z</cp:lastPrinted>
  <dcterms:modified xsi:type="dcterms:W3CDTF">2025-08-19T04:35:39Z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52E276D742A745B6B59BC4DF707AC0F4_13</vt:lpwstr>
  </property>
  <property fmtid="{D5CDD505-2E9C-101B-9397-08002B2CF9AE}" pid="4" name="KSOTemplateDocerSaveRecord">
    <vt:lpwstr>eyJoZGlkIjoiNzhiYmVhMzVmZTc2ZTZhN2E0ZGI3ZjRlY2Y0M2Q3YmMiLCJ1c2VySWQiOiI0NDMxMTE0ODUifQ==</vt:lpwstr>
  </property>
</Properties>
</file>